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0"/>
        </w:tabs>
        <w:snapToGrid w:val="0"/>
        <w:spacing w:after="156" w:afterLines="50" w:line="580" w:lineRule="exact"/>
        <w:jc w:val="left"/>
        <w:rPr>
          <w:rFonts w:ascii="黑体" w:hAnsi="黑体" w:eastAsia="黑体" w:cs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附件1</w:t>
      </w:r>
    </w:p>
    <w:p>
      <w:pPr>
        <w:tabs>
          <w:tab w:val="left" w:pos="600"/>
        </w:tabs>
        <w:snapToGrid w:val="0"/>
        <w:spacing w:line="580" w:lineRule="exact"/>
        <w:jc w:val="center"/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小标宋"/>
          <w:bCs/>
          <w:snapToGrid w:val="0"/>
          <w:kern w:val="0"/>
          <w:sz w:val="44"/>
          <w:szCs w:val="44"/>
        </w:rPr>
        <w:t>第二届</w:t>
      </w:r>
      <w:r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  <w:t>中国科技青年论坛专题分论坛策划</w:t>
      </w:r>
    </w:p>
    <w:p>
      <w:pPr>
        <w:tabs>
          <w:tab w:val="left" w:pos="600"/>
        </w:tabs>
        <w:snapToGrid w:val="0"/>
        <w:spacing w:line="580" w:lineRule="exact"/>
        <w:jc w:val="center"/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  <w:t>实施项目综合评分标准</w:t>
      </w: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60"/>
        <w:gridCol w:w="996"/>
        <w:gridCol w:w="6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评审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因素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4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评审内容说明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商务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1.相关经验业绩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申报单位具有类似项目业绩，具有承办大型学术会议活动的丰富工作经验，有熟悉了解科协业务的优先。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2.服务能力及执行团队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1.申报单位是否具备承担项目实施的综合服务能力，具有完成项目要求全部内容的服务能力（具体要求详见通知）。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2.项目执行团队结构合理、人数充足，配备具有组织策划、活动执行、会务服务、宣传推广相关经验的专项工作团队，并明确职责分工；具有相关业务专业水平，符合项目工作要求；项目骨干人员拥有丰富类似项目工作经验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优（22-30分）良（14-21分）一般（7-13分）差（0-6分）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3.基础保障条件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申报单位具备满足项目要求、实施项目所必备的保障条件，具有官方媒体宣传渠道。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4.执行方案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1.申报单位具体执行方案是否细化，是否符合项目要求，具有针对性、可操作性。整体项目实施是否能达到项目预期效果。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2.项目进度安排合理，满足项目要求。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5.</w:t>
            </w:r>
            <w:r>
              <w:rPr>
                <w:rFonts w:ascii="Times New Roman" w:hAnsi="Times New Roman" w:eastAsia="楷体"/>
                <w:sz w:val="24"/>
              </w:rPr>
              <w:t>报价评审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采用低价优先法计算，即满足不高于项目限额且报价最低的报价为评审基准价，其价格分为满分。其他供应商的价格分按照下列公式计算：价格得分=（评审基准价／供应商报价）×10%×100。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5A043B26"/>
    <w:rsid w:val="5A04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2023-10-16T07:58:00Z</dcterms:created>
  <dc:creator>Miss.Hamster</dc:creator>
  <cp:lastModifiedBy>Miss.Hamster</cp:lastModifiedBy>
  <dcterms:modified xsi:type="dcterms:W3CDTF">2023-10-16T07:59:19Z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B19231DA95334BE5B995029CD70029F8_11</vt:lpwstr>
  </property>
</Properties>
</file>