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39AF8">
      <w:pPr>
        <w:pStyle w:val="13"/>
        <w:widowControl w:val="0"/>
        <w:wordWrap w:val="0"/>
        <w:autoSpaceDE w:val="0"/>
        <w:autoSpaceDN w:val="0"/>
        <w:spacing w:before="0" w:beforeAutospacing="0" w:after="0" w:afterAutospacing="0"/>
        <w:ind w:right="1680" w:rightChars="600"/>
        <w:jc w:val="both"/>
        <w:rPr>
          <w:rFonts w:hint="eastAsia" w:ascii="黑体" w:hAnsi="黑体" w:eastAsia="黑体" w:cs="黑体"/>
          <w:sz w:val="32"/>
        </w:rPr>
      </w:pPr>
      <w:bookmarkStart w:id="0" w:name="_GoBack"/>
      <w:bookmarkEnd w:id="0"/>
      <w:r>
        <w:rPr>
          <w:rFonts w:hint="eastAsia" w:ascii="黑体" w:hAnsi="黑体" w:eastAsia="黑体" w:cs="黑体"/>
          <w:sz w:val="32"/>
        </w:rPr>
        <w:t>附件1</w:t>
      </w:r>
    </w:p>
    <w:p w14:paraId="2FC3D129">
      <w:pPr>
        <w:widowControl w:val="0"/>
        <w:autoSpaceDE/>
        <w:autoSpaceDN/>
        <w:snapToGrid w:val="0"/>
        <w:spacing w:before="120" w:beforeLines="50" w:after="360" w:afterLines="150" w:line="700" w:lineRule="exact"/>
        <w:jc w:val="center"/>
        <w:rPr>
          <w:rFonts w:hint="eastAsia" w:ascii="小标宋" w:hAnsi="小标宋" w:eastAsia="小标宋" w:cs="小标宋"/>
          <w:sz w:val="44"/>
          <w:szCs w:val="44"/>
        </w:rPr>
      </w:pPr>
      <w:r>
        <w:rPr>
          <w:rFonts w:hint="eastAsia" w:ascii="小标宋" w:hAnsi="小标宋" w:eastAsia="小标宋" w:cs="小标宋"/>
          <w:sz w:val="44"/>
          <w:szCs w:val="44"/>
        </w:rPr>
        <w:t>中国科协自然科学研究系列科普专业职称</w:t>
      </w:r>
      <w:r>
        <w:rPr>
          <w:rFonts w:hint="eastAsia" w:ascii="小标宋" w:hAnsi="小标宋" w:eastAsia="小标宋" w:cs="小标宋"/>
          <w:sz w:val="44"/>
          <w:szCs w:val="44"/>
        </w:rPr>
        <w:br w:type="textWrapping"/>
      </w:r>
      <w:r>
        <w:rPr>
          <w:rFonts w:hint="eastAsia" w:ascii="小标宋" w:hAnsi="小标宋" w:eastAsia="小标宋" w:cs="小标宋"/>
          <w:sz w:val="44"/>
          <w:szCs w:val="44"/>
        </w:rPr>
        <w:t>评审标准</w:t>
      </w:r>
    </w:p>
    <w:p w14:paraId="126599C0">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一、申报自然科学研究系列科普专业职称的专业技术人员应以习近平新时代中国特色社会主义思想为指导，坚持中国共产党的领导，热爱祖国，遵守中华人民共和国宪法和法律法规，坚决贯彻执行党的理论和路线方针政策。</w:t>
      </w:r>
    </w:p>
    <w:p w14:paraId="74E9C006">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二、坚持德才兼备、以德为先，具有良好的职业道德和科学道德，恪守科研诚信，作风和学风端正。</w:t>
      </w:r>
    </w:p>
    <w:p w14:paraId="7A35D9C1">
      <w:pPr>
        <w:pStyle w:val="13"/>
        <w:widowControl w:val="0"/>
        <w:adjustRightInd w:val="0"/>
        <w:snapToGrid w:val="0"/>
        <w:spacing w:before="0" w:beforeAutospacing="0" w:after="0" w:afterAutospacing="0" w:line="560" w:lineRule="exact"/>
        <w:ind w:firstLine="648" w:firstLineChars="200"/>
        <w:jc w:val="both"/>
        <w:rPr>
          <w:rFonts w:hint="eastAsia" w:ascii="仿宋_GB2312" w:eastAsia="仿宋_GB2312"/>
          <w:spacing w:val="2"/>
          <w:sz w:val="32"/>
          <w:szCs w:val="32"/>
        </w:rPr>
      </w:pPr>
      <w:r>
        <w:rPr>
          <w:rFonts w:hint="eastAsia" w:ascii="仿宋_GB2312" w:hAnsi="仿宋_GB2312" w:eastAsia="仿宋_GB2312" w:cs="仿宋_GB2312"/>
          <w:spacing w:val="2"/>
          <w:sz w:val="32"/>
          <w:szCs w:val="32"/>
        </w:rPr>
        <w:t>三、遵守《中华人民共和国科学技术普及法》，按照《关于新时代进一步加强科学技术普及工作的意见》《全民科学素质行动规划纲要（2021—2035年）》的部署，普及科学技术知识、倡导科学方法、传播科学思想、弘扬科学精神，为提高全民科学素质作出贡献。热爱本职工作，认真履行岗位职责，近三年年度考核结果均为合格（称职）以上。参加科普继续教育并达到规定要求。</w:t>
      </w:r>
    </w:p>
    <w:p w14:paraId="561900EB">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四、科普专业人员申报各层级职称，除必须满足上述基本条件外，还应分别具备以下条件：</w:t>
      </w:r>
    </w:p>
    <w:p w14:paraId="6C7A5E83">
      <w:pPr>
        <w:pStyle w:val="13"/>
        <w:widowControl w:val="0"/>
        <w:adjustRightInd w:val="0"/>
        <w:snapToGrid w:val="0"/>
        <w:spacing w:before="0" w:beforeAutospacing="0" w:after="0" w:afterAutospacing="0" w:line="560" w:lineRule="exact"/>
        <w:ind w:firstLine="640" w:firstLineChars="200"/>
        <w:jc w:val="both"/>
        <w:outlineLvl w:val="1"/>
        <w:rPr>
          <w:rFonts w:hint="eastAsia" w:ascii="楷体_GB2312" w:hAnsi="黑体" w:eastAsia="楷体_GB2312"/>
          <w:sz w:val="32"/>
          <w:szCs w:val="32"/>
        </w:rPr>
      </w:pPr>
      <w:r>
        <w:rPr>
          <w:rFonts w:hint="eastAsia" w:ascii="楷体_GB2312" w:hAnsi="黑体" w:eastAsia="楷体_GB2312"/>
          <w:sz w:val="32"/>
          <w:szCs w:val="32"/>
        </w:rPr>
        <w:t>（一）研究实习员</w:t>
      </w:r>
    </w:p>
    <w:p w14:paraId="3908C9E5">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1.学历和专业工作经历要求。具备硕士学位，从事科普工作；或具备大学本科学历或学士学位，从事科普工作1年见习期满，经考核合格</w:t>
      </w:r>
      <w:r>
        <w:rPr>
          <w:rFonts w:hint="eastAsia" w:ascii="仿宋_GB2312"/>
          <w:sz w:val="32"/>
          <w:szCs w:val="32"/>
        </w:rPr>
        <w:t>。</w:t>
      </w:r>
    </w:p>
    <w:p w14:paraId="1EA86E5B">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2.专业能力条件。具有基本的科普理论功底和实践能力，能够承担科普专业基础性工作。</w:t>
      </w:r>
    </w:p>
    <w:p w14:paraId="5D70C960">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3.业绩条件。参与本单位科普课题、项目、活动不少于1项。</w:t>
      </w:r>
    </w:p>
    <w:p w14:paraId="210B5C1B">
      <w:pPr>
        <w:pStyle w:val="13"/>
        <w:widowControl w:val="0"/>
        <w:adjustRightInd w:val="0"/>
        <w:snapToGrid w:val="0"/>
        <w:spacing w:before="0" w:beforeAutospacing="0" w:after="0" w:afterAutospacing="0" w:line="560" w:lineRule="exact"/>
        <w:ind w:firstLine="640" w:firstLineChars="200"/>
        <w:jc w:val="both"/>
        <w:outlineLvl w:val="1"/>
        <w:rPr>
          <w:rFonts w:hint="eastAsia" w:ascii="楷体_GB2312" w:hAnsi="黑体" w:eastAsia="楷体_GB2312"/>
          <w:sz w:val="32"/>
          <w:szCs w:val="32"/>
        </w:rPr>
      </w:pPr>
      <w:r>
        <w:rPr>
          <w:rFonts w:hint="eastAsia" w:ascii="楷体_GB2312" w:hAnsi="黑体" w:eastAsia="楷体_GB2312"/>
          <w:sz w:val="32"/>
          <w:szCs w:val="32"/>
        </w:rPr>
        <w:t>（二）助理研究员</w:t>
      </w:r>
    </w:p>
    <w:p w14:paraId="12AABC5F">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1.学历和专业工作经历要求。具备博士学位，从事科普工作；或具备硕士学位，取得研究实习员职称后，从事科普工作满2年；或取得研究实习员职称后，从事科普工作满4年。</w:t>
      </w:r>
    </w:p>
    <w:p w14:paraId="3143F835">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2.专业能力条件。具有一定的科普理论功底和实践能力，了解科普领域政策法规，熟悉国内外科普现状和发展趋势，具有较强的科普工作能力；具有指导初级科普专业技术人员开展工作的能力。</w:t>
      </w:r>
    </w:p>
    <w:p w14:paraId="326577D2">
      <w:pPr>
        <w:pStyle w:val="13"/>
        <w:widowControl w:val="0"/>
        <w:adjustRightInd w:val="0"/>
        <w:snapToGrid w:val="0"/>
        <w:spacing w:before="0" w:beforeAutospacing="0" w:after="0" w:afterAutospacing="0" w:line="560" w:lineRule="exact"/>
        <w:ind w:firstLine="600" w:firstLineChars="200"/>
        <w:jc w:val="both"/>
        <w:rPr>
          <w:rFonts w:hint="eastAsia" w:ascii="仿宋_GB2312" w:eastAsia="仿宋_GB2312"/>
          <w:sz w:val="32"/>
          <w:szCs w:val="32"/>
        </w:rPr>
      </w:pPr>
      <w:r>
        <w:rPr>
          <w:rFonts w:hint="eastAsia" w:ascii="仿宋_GB2312" w:hAnsi="仿宋_GB2312" w:eastAsia="仿宋_GB2312" w:cs="仿宋_GB2312"/>
          <w:spacing w:val="-10"/>
          <w:sz w:val="32"/>
          <w:szCs w:val="32"/>
        </w:rPr>
        <w:t>3.业绩条件。取得初级职称后，应具备下列业绩中的任意一项：</w:t>
      </w:r>
    </w:p>
    <w:p w14:paraId="07A58C53">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（1）科普研究方向</w:t>
      </w:r>
    </w:p>
    <w:p w14:paraId="0EE51607">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参与重要科普研究课题（项目）不少于1项，按计划完成研究任务并通过验收。</w:t>
      </w:r>
    </w:p>
    <w:p w14:paraId="7BDB714D">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（2）科普内容资源创作和传播方向</w:t>
      </w:r>
    </w:p>
    <w:p w14:paraId="61E07F3F">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符合下列条件之一：</w:t>
      </w:r>
    </w:p>
    <w:p w14:paraId="423E38FA">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①参与创作司局级以上部门单位采用的科普教材、课程、音视频、文创等不少于2个；</w:t>
      </w:r>
    </w:p>
    <w:p w14:paraId="3A1EB914">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②参与创作科普动漫、游戏、广播影视节目、电影、科普剧不少于1个；</w:t>
      </w:r>
    </w:p>
    <w:p w14:paraId="7D26F33B">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③参与司局级以上部门单位或全国学会主办的科普期刊、报纸专栏、网络专题组稿不少于4期；</w:t>
      </w:r>
    </w:p>
    <w:p w14:paraId="2C81BC56">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④参与策划实施科普展览不少于1个；或参与研发在科普展览正式展出的科普展品不少于1个；或参与撰写并被采纳使用的科普展览讲解稿（不少于5000字）不少于3项；</w:t>
      </w:r>
    </w:p>
    <w:p w14:paraId="0A983E9C">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⑤参与策划实施省部级单位举办的科普活动或科技赛事不少于1次，或司局级单位举办的不少于2次；或参与策划实施实用技术培训不少于10次；</w:t>
      </w:r>
    </w:p>
    <w:p w14:paraId="11CB2A94">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⑥参与录制省部级广播电视机构主办的科技广播、影视节目不少于1次；</w:t>
      </w:r>
    </w:p>
    <w:p w14:paraId="13823A14">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⑦面向社会公众独立完成科普讲解100场次且受众总人次不少于3000人次；或每年完成科技（科普）志愿服务时长100小时以上；或担任科技辅导员面向青少年学生每年开展科技辅导200学时以上；</w:t>
      </w:r>
    </w:p>
    <w:p w14:paraId="28A23D90">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⑧参与开发、运营维护司局级以上部门单位主办的有较大影响力的科普信息资源平台不少于1个</w:t>
      </w:r>
      <w:r>
        <w:rPr>
          <w:rFonts w:hint="eastAsia" w:ascii="仿宋_GB2312"/>
          <w:sz w:val="32"/>
          <w:szCs w:val="32"/>
        </w:rPr>
        <w:t>。</w:t>
      </w:r>
    </w:p>
    <w:p w14:paraId="3B605C71">
      <w:pPr>
        <w:pStyle w:val="13"/>
        <w:widowControl w:val="0"/>
        <w:adjustRightInd w:val="0"/>
        <w:snapToGrid w:val="0"/>
        <w:spacing w:before="0" w:beforeAutospacing="0" w:after="0" w:afterAutospacing="0" w:line="560" w:lineRule="exact"/>
        <w:ind w:firstLine="648" w:firstLineChars="200"/>
        <w:jc w:val="both"/>
        <w:rPr>
          <w:rFonts w:hint="eastAsia" w:ascii="Times New Roman" w:hAnsi="Times New Roman" w:eastAsia="楷体_GB2312" w:cs="Times New Roman"/>
          <w:sz w:val="32"/>
          <w:szCs w:val="32"/>
        </w:rPr>
      </w:pPr>
      <w:r>
        <w:rPr>
          <w:rFonts w:hint="eastAsia" w:ascii="仿宋_GB2312" w:hAnsi="仿宋_GB2312" w:eastAsia="仿宋_GB2312" w:cs="仿宋_GB2312"/>
          <w:spacing w:val="2"/>
          <w:sz w:val="32"/>
          <w:szCs w:val="32"/>
        </w:rPr>
        <w:t>4.学术技术条件。取得初级职称后，应具备下列成果条件之一：</w:t>
      </w:r>
    </w:p>
    <w:p w14:paraId="5E09E3F2">
      <w:pPr>
        <w:pStyle w:val="13"/>
        <w:widowControl w:val="0"/>
        <w:numPr>
          <w:ilvl w:val="0"/>
          <w:numId w:val="1"/>
        </w:numPr>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独立或以第一作者身份在公开出版的学术期刊上发表科普相关论文不少于1篇。</w:t>
      </w:r>
    </w:p>
    <w:p w14:paraId="36DBF248">
      <w:pPr>
        <w:pStyle w:val="13"/>
        <w:widowControl w:val="0"/>
        <w:numPr>
          <w:ilvl w:val="0"/>
          <w:numId w:val="1"/>
        </w:numPr>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作为主要完成人参与撰写经司局级以上部门批复实施的科普工作法律法规、指导性文件、规划、标准等不少于1项。</w:t>
      </w:r>
    </w:p>
    <w:p w14:paraId="413856CD">
      <w:pPr>
        <w:pStyle w:val="13"/>
        <w:widowControl w:val="0"/>
        <w:numPr>
          <w:ilvl w:val="0"/>
          <w:numId w:val="1"/>
        </w:numPr>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作为主要完成人参与撰写司局级以上部门采用或肯定的科普相关调研报告、专题报告等不少于1篇。</w:t>
      </w:r>
    </w:p>
    <w:p w14:paraId="72D403D0">
      <w:pPr>
        <w:pStyle w:val="13"/>
        <w:widowControl w:val="0"/>
        <w:numPr>
          <w:ilvl w:val="0"/>
          <w:numId w:val="1"/>
        </w:numPr>
        <w:adjustRightInd w:val="0"/>
        <w:snapToGrid w:val="0"/>
        <w:spacing w:before="0" w:beforeAutospacing="0" w:after="0" w:afterAutospacing="0" w:line="560" w:lineRule="exact"/>
        <w:ind w:firstLine="640" w:firstLineChars="200"/>
        <w:jc w:val="both"/>
        <w:rPr>
          <w:rFonts w:hint="eastAsia" w:ascii="仿宋_GB2312"/>
          <w:sz w:val="32"/>
          <w:szCs w:val="32"/>
        </w:rPr>
      </w:pPr>
      <w:r>
        <w:rPr>
          <w:rFonts w:hint="eastAsia" w:ascii="仿宋_GB2312" w:hAnsi="仿宋_GB2312" w:eastAsia="仿宋_GB2312" w:cs="仿宋_GB2312"/>
          <w:sz w:val="32"/>
          <w:szCs w:val="32"/>
        </w:rPr>
        <w:t>作为主要完成人参与创作的科普文章1篇（单篇字数不少于1500字），在中央主流媒体或其他主流媒体刊发，形成网络传播且单篇阅读量不少于10万。</w:t>
      </w:r>
    </w:p>
    <w:p w14:paraId="46273453">
      <w:pPr>
        <w:pStyle w:val="13"/>
        <w:widowControl w:val="0"/>
        <w:adjustRightInd w:val="0"/>
        <w:snapToGrid w:val="0"/>
        <w:spacing w:before="0" w:beforeAutospacing="0" w:after="0" w:afterAutospacing="0" w:line="560" w:lineRule="exact"/>
        <w:ind w:firstLine="640" w:firstLineChars="200"/>
        <w:jc w:val="both"/>
        <w:rPr>
          <w:rFonts w:hint="eastAsia" w:ascii="仿宋_GB2312"/>
          <w:sz w:val="32"/>
          <w:szCs w:val="32"/>
        </w:rPr>
      </w:pPr>
      <w:r>
        <w:rPr>
          <w:rFonts w:hint="eastAsia" w:ascii="仿宋_GB2312" w:hAnsi="仿宋_GB2312" w:eastAsia="仿宋_GB2312" w:cs="仿宋_GB2312"/>
          <w:sz w:val="32"/>
          <w:szCs w:val="32"/>
        </w:rPr>
        <w:t>（5）参与发明或设计的科普作品取得发明专利不少于1项，或实用新型专利、外观设计专利不少于2项；或参与开发的科普软件作品取得软件著作权不少于2项。</w:t>
      </w:r>
    </w:p>
    <w:p w14:paraId="5B6094EC">
      <w:pPr>
        <w:pStyle w:val="13"/>
        <w:widowControl w:val="0"/>
        <w:adjustRightInd w:val="0"/>
        <w:snapToGrid w:val="0"/>
        <w:spacing w:before="0" w:beforeAutospacing="0" w:after="0" w:afterAutospacing="0" w:line="560" w:lineRule="exact"/>
        <w:ind w:firstLine="640" w:firstLineChars="200"/>
        <w:jc w:val="both"/>
        <w:outlineLvl w:val="1"/>
        <w:rPr>
          <w:rFonts w:hint="eastAsia" w:ascii="楷体_GB2312" w:hAnsi="黑体" w:eastAsia="楷体_GB2312"/>
          <w:sz w:val="32"/>
          <w:szCs w:val="32"/>
        </w:rPr>
      </w:pPr>
      <w:r>
        <w:rPr>
          <w:rFonts w:hint="eastAsia" w:ascii="楷体_GB2312" w:hAnsi="黑体" w:eastAsia="楷体_GB2312"/>
          <w:sz w:val="32"/>
          <w:szCs w:val="32"/>
        </w:rPr>
        <w:t>（三）副研究员</w:t>
      </w:r>
    </w:p>
    <w:p w14:paraId="6DA91C64">
      <w:pPr>
        <w:pStyle w:val="13"/>
        <w:widowControl w:val="0"/>
        <w:adjustRightInd w:val="0"/>
        <w:snapToGrid w:val="0"/>
        <w:spacing w:before="0" w:beforeAutospacing="0" w:after="0" w:afterAutospacing="0" w:line="560" w:lineRule="exact"/>
        <w:ind w:firstLine="640" w:firstLineChars="200"/>
        <w:jc w:val="both"/>
        <w:rPr>
          <w:rFonts w:hint="eastAsia" w:ascii="Times New Roman" w:hAnsi="Times New Roman" w:eastAsia="楷体_GB2312" w:cs="Times New Roman"/>
          <w:sz w:val="32"/>
          <w:szCs w:val="32"/>
        </w:rPr>
      </w:pPr>
      <w:r>
        <w:rPr>
          <w:rFonts w:hint="eastAsia" w:ascii="仿宋_GB2312" w:hAnsi="仿宋_GB2312" w:eastAsia="仿宋_GB2312" w:cs="仿宋_GB2312"/>
          <w:sz w:val="32"/>
          <w:szCs w:val="32"/>
        </w:rPr>
        <w:t>1.学历和专业工作经历要求。具备博士学位，取得助理研究员职称后，从事科普工作满2年；或取得助理研究员职称后，从事科普工作满5年。</w:t>
      </w:r>
    </w:p>
    <w:p w14:paraId="7EB8FBFF">
      <w:pPr>
        <w:pStyle w:val="13"/>
        <w:widowControl w:val="0"/>
        <w:adjustRightInd w:val="0"/>
        <w:snapToGrid w:val="0"/>
        <w:spacing w:before="0" w:beforeAutospacing="0" w:after="0" w:afterAutospacing="0" w:line="560" w:lineRule="exact"/>
        <w:ind w:firstLine="640" w:firstLineChars="200"/>
        <w:jc w:val="both"/>
        <w:rPr>
          <w:rFonts w:hint="eastAsia" w:ascii="Times New Roman" w:hAnsi="Times New Roman" w:eastAsia="楷体_GB2312" w:cs="Times New Roman"/>
          <w:sz w:val="32"/>
          <w:szCs w:val="32"/>
        </w:rPr>
      </w:pPr>
      <w:r>
        <w:rPr>
          <w:rFonts w:hint="eastAsia" w:ascii="仿宋_GB2312" w:hAnsi="仿宋_GB2312" w:eastAsia="仿宋_GB2312" w:cs="仿宋_GB2312"/>
          <w:sz w:val="32"/>
          <w:szCs w:val="32"/>
        </w:rPr>
        <w:t>2.专业能力条件。具有系统、扎实的科普理论功底和实践能力，熟悉科普领域政策法规，掌握国内外科普现状和发展趋势；有较高的行业认可度和较强的社会影响力；具有指导和培养中级及以下科普专业技术人员的能力。</w:t>
      </w:r>
    </w:p>
    <w:p w14:paraId="3F82CB98">
      <w:pPr>
        <w:pStyle w:val="13"/>
        <w:widowControl w:val="0"/>
        <w:adjustRightInd w:val="0"/>
        <w:snapToGrid w:val="0"/>
        <w:spacing w:before="0" w:beforeAutospacing="0" w:after="0" w:afterAutospacing="0" w:line="560" w:lineRule="exact"/>
        <w:ind w:firstLine="656" w:firstLineChars="200"/>
        <w:jc w:val="both"/>
        <w:rPr>
          <w:rFonts w:hint="eastAsia" w:ascii="Times New Roman" w:hAnsi="Times New Roman" w:eastAsia="楷体_GB2312" w:cs="Times New Roman"/>
          <w:sz w:val="32"/>
          <w:szCs w:val="32"/>
        </w:rPr>
      </w:pPr>
      <w:r>
        <w:rPr>
          <w:rFonts w:hint="eastAsia" w:ascii="仿宋_GB2312" w:hAnsi="仿宋_GB2312" w:eastAsia="仿宋_GB2312" w:cs="仿宋_GB2312"/>
          <w:spacing w:val="4"/>
          <w:sz w:val="32"/>
          <w:szCs w:val="32"/>
        </w:rPr>
        <w:t>3.业绩条件。取得中级职称后，应具备下列业绩中的任意一项：</w:t>
      </w:r>
    </w:p>
    <w:p w14:paraId="0D938E57">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（1）科普研究方向</w:t>
      </w:r>
    </w:p>
    <w:p w14:paraId="31AD572C">
      <w:pPr>
        <w:pStyle w:val="13"/>
        <w:widowControl w:val="0"/>
        <w:adjustRightInd w:val="0"/>
        <w:snapToGrid w:val="0"/>
        <w:spacing w:before="0" w:beforeAutospacing="0" w:after="0" w:afterAutospacing="0" w:line="560" w:lineRule="exact"/>
        <w:ind w:firstLine="640" w:firstLineChars="200"/>
        <w:jc w:val="both"/>
        <w:rPr>
          <w:rFonts w:hint="eastAsia" w:ascii="Times New Roman" w:hAnsi="Times New Roman" w:eastAsia="楷体_GB2312" w:cs="Times New Roman"/>
          <w:sz w:val="32"/>
          <w:szCs w:val="32"/>
        </w:rPr>
      </w:pPr>
      <w:r>
        <w:rPr>
          <w:rFonts w:hint="eastAsia" w:ascii="仿宋_GB2312" w:hAnsi="仿宋_GB2312" w:eastAsia="仿宋_GB2312" w:cs="仿宋_GB2312"/>
          <w:sz w:val="32"/>
          <w:szCs w:val="32"/>
        </w:rPr>
        <w:t>主持司局级以上科普研究课题（项目）不少于2项，或作为主要完成人参与省部级以上科普研究课题（项目）不少于1项，按计划完成研究任务并通过验收。</w:t>
      </w:r>
    </w:p>
    <w:p w14:paraId="77C3AF54">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（2）科普内容资源创作和传播方向</w:t>
      </w:r>
    </w:p>
    <w:p w14:paraId="05CD2386">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符合下列条件之一：</w:t>
      </w:r>
    </w:p>
    <w:p w14:paraId="158DD9D8">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trike/>
          <w:sz w:val="32"/>
          <w:szCs w:val="32"/>
        </w:rPr>
      </w:pPr>
      <w:r>
        <w:rPr>
          <w:rFonts w:hint="eastAsia" w:ascii="仿宋_GB2312" w:hAnsi="仿宋_GB2312" w:eastAsia="仿宋_GB2312" w:cs="仿宋_GB2312"/>
          <w:sz w:val="32"/>
          <w:szCs w:val="32"/>
        </w:rPr>
        <w:t>①主持创作司局级以上部门单位采用的科普教材、课程、音视频、文创等不少于3个；</w:t>
      </w:r>
    </w:p>
    <w:p w14:paraId="18335CDA">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②主持创作科普动漫、游戏、广播影视节目、电影、科普剧不少于1个；</w:t>
      </w:r>
    </w:p>
    <w:p w14:paraId="57C37636">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③主持司局级以上部门单位或全国学会主办的科普期刊、报纸专栏、网络专题组稿不少于12期；</w:t>
      </w:r>
    </w:p>
    <w:p w14:paraId="3EA0738C">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作为主要完成人策划实施大型科普展览不少于1个或中型科普展览不少于2个或小型科普展览不少于4个；或主持研发在科普展览正式展出的科普展品不少于4个；或作为主要完成人撰写并被采纳使用的大型科普展览讲解稿（不少于5000字）不少于5项；</w:t>
      </w:r>
    </w:p>
    <w:p w14:paraId="262DEB66">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highlight w:val="red"/>
        </w:rPr>
      </w:pPr>
      <w:r>
        <w:rPr>
          <w:rFonts w:hint="eastAsia" w:ascii="仿宋_GB2312" w:hAnsi="仿宋_GB2312" w:eastAsia="仿宋_GB2312" w:cs="仿宋_GB2312"/>
          <w:sz w:val="32"/>
          <w:szCs w:val="32"/>
        </w:rPr>
        <w:t>⑤作为主要完成人策划实施省部级单位举办的科普活动或科技赛事不少于2次，或司局级单位举办的不少于4次；或策划实施实用技术培训不少于20次；</w:t>
      </w:r>
    </w:p>
    <w:p w14:paraId="667823A2">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⑥作为主讲人录制省部级广播电视机构主办的科技广播、影视节目不少于2次；</w:t>
      </w:r>
    </w:p>
    <w:p w14:paraId="3DCA87FA">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pacing w:val="-4"/>
          <w:sz w:val="32"/>
          <w:szCs w:val="32"/>
        </w:rPr>
      </w:pPr>
      <w:r>
        <w:rPr>
          <w:rFonts w:hint="eastAsia" w:ascii="仿宋_GB2312" w:hAnsi="仿宋_GB2312" w:eastAsia="仿宋_GB2312" w:cs="仿宋_GB2312"/>
          <w:sz w:val="32"/>
          <w:szCs w:val="32"/>
        </w:rPr>
        <w:t>⑦面向社会公众主讲科普报告不少于20次且受众总人次不少于2000人次；每年完成科技（科普）志愿服务时长100小时以上，可替代面向社会公众主讲科普报告1次</w:t>
      </w:r>
      <w:r>
        <w:rPr>
          <w:rFonts w:hint="eastAsia" w:ascii="仿宋_GB2312" w:hAnsi="仿宋_GB2312" w:eastAsia="仿宋_GB2312" w:cs="仿宋_GB2312"/>
          <w:spacing w:val="-4"/>
          <w:sz w:val="32"/>
          <w:szCs w:val="32"/>
        </w:rPr>
        <w:t>；</w:t>
      </w:r>
    </w:p>
    <w:p w14:paraId="5836D359">
      <w:pPr>
        <w:pStyle w:val="13"/>
        <w:widowControl w:val="0"/>
        <w:adjustRightInd w:val="0"/>
        <w:snapToGrid w:val="0"/>
        <w:spacing w:before="0" w:beforeAutospacing="0" w:after="0" w:afterAutospacing="0" w:line="560" w:lineRule="exact"/>
        <w:ind w:firstLine="640" w:firstLineChars="200"/>
        <w:jc w:val="both"/>
        <w:rPr>
          <w:rFonts w:hint="eastAsia" w:ascii="Times New Roman" w:hAnsi="Times New Roman" w:eastAsia="楷体_GB2312" w:cs="Times New Roman"/>
          <w:sz w:val="32"/>
          <w:szCs w:val="32"/>
        </w:rPr>
      </w:pPr>
      <w:r>
        <w:rPr>
          <w:rFonts w:hint="eastAsia" w:ascii="仿宋_GB2312" w:hAnsi="仿宋_GB2312" w:eastAsia="仿宋_GB2312" w:cs="仿宋_GB2312"/>
          <w:sz w:val="32"/>
          <w:szCs w:val="32"/>
        </w:rPr>
        <w:t>⑧作为主要完成人开发、运营维护司局级以上部门单位主办的有较大影响力的科普信息资源平台不少于1个。</w:t>
      </w:r>
    </w:p>
    <w:p w14:paraId="2C5F5A6A">
      <w:pPr>
        <w:pStyle w:val="13"/>
        <w:widowControl w:val="0"/>
        <w:adjustRightInd w:val="0"/>
        <w:snapToGrid w:val="0"/>
        <w:spacing w:before="0" w:beforeAutospacing="0" w:after="0" w:afterAutospacing="0" w:line="560" w:lineRule="exact"/>
        <w:ind w:firstLine="648" w:firstLineChars="200"/>
        <w:jc w:val="both"/>
        <w:rPr>
          <w:rFonts w:hint="eastAsia" w:ascii="仿宋_GB2312" w:eastAsia="仿宋_GB2312"/>
          <w:spacing w:val="2"/>
          <w:sz w:val="32"/>
          <w:szCs w:val="32"/>
        </w:rPr>
      </w:pPr>
      <w:r>
        <w:rPr>
          <w:rFonts w:hint="eastAsia" w:ascii="仿宋_GB2312" w:hAnsi="仿宋_GB2312" w:eastAsia="仿宋_GB2312" w:cs="仿宋_GB2312"/>
          <w:spacing w:val="2"/>
          <w:sz w:val="32"/>
          <w:szCs w:val="32"/>
        </w:rPr>
        <w:t>4.学术技术条件。取得中级职称后，应具备下列成果条件之一：</w:t>
      </w:r>
    </w:p>
    <w:p w14:paraId="4004074B">
      <w:pPr>
        <w:pStyle w:val="13"/>
        <w:widowControl w:val="0"/>
        <w:numPr>
          <w:ilvl w:val="0"/>
          <w:numId w:val="2"/>
        </w:numPr>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发表论文条件</w:t>
      </w:r>
    </w:p>
    <w:p w14:paraId="58E78331">
      <w:pPr>
        <w:pStyle w:val="13"/>
        <w:widowControl w:val="0"/>
        <w:adjustRightInd w:val="0"/>
        <w:snapToGrid w:val="0"/>
        <w:spacing w:before="0" w:beforeAutospacing="0" w:after="0" w:afterAutospacing="0" w:line="560" w:lineRule="exact"/>
        <w:ind w:firstLine="640" w:firstLineChars="200"/>
        <w:jc w:val="both"/>
        <w:rPr>
          <w:rFonts w:hint="eastAsia" w:ascii="仿宋_GB2312"/>
          <w:sz w:val="32"/>
          <w:szCs w:val="32"/>
        </w:rPr>
      </w:pPr>
      <w:r>
        <w:rPr>
          <w:rFonts w:hint="eastAsia" w:ascii="楷体_GB2312" w:eastAsia="楷体_GB2312"/>
          <w:sz w:val="32"/>
          <w:szCs w:val="32"/>
        </w:rPr>
        <w:t>科普</w:t>
      </w:r>
      <w:r>
        <w:rPr>
          <w:rFonts w:ascii="楷体_GB2312" w:eastAsia="楷体_GB2312"/>
          <w:sz w:val="32"/>
          <w:szCs w:val="32"/>
        </w:rPr>
        <w:t>研究</w:t>
      </w:r>
      <w:r>
        <w:rPr>
          <w:rFonts w:hint="eastAsia" w:ascii="楷体_GB2312" w:eastAsia="楷体_GB2312"/>
          <w:sz w:val="32"/>
          <w:szCs w:val="32"/>
        </w:rPr>
        <w:t>方向：</w:t>
      </w:r>
      <w:r>
        <w:rPr>
          <w:rFonts w:hint="eastAsia" w:ascii="仿宋_GB2312" w:hAnsi="仿宋_GB2312" w:eastAsia="仿宋_GB2312" w:cs="仿宋_GB2312"/>
          <w:sz w:val="32"/>
          <w:szCs w:val="32"/>
        </w:rPr>
        <w:t>独立或以第一作者身份在公开出版的学术期刊上发表科普研究论文不少于2篇，其中在核心期刊发表或SCI（SSCI、EI）收录的论文不少于1篇。独立或以第一作者身份创作的科普文章（单篇字数不少于1500字），在中央主流媒体或其他主流媒体刊发，形成网络传播且单篇阅读量不少于50万的，可视为等同于核心期刊发表或SCI（SSCI、EI）收录的论文。</w:t>
      </w:r>
    </w:p>
    <w:p w14:paraId="0EE896EB">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科普内容</w:t>
      </w:r>
      <w:r>
        <w:rPr>
          <w:rFonts w:ascii="楷体_GB2312" w:eastAsia="楷体_GB2312"/>
          <w:sz w:val="32"/>
          <w:szCs w:val="32"/>
        </w:rPr>
        <w:t>资源创作和传播</w:t>
      </w:r>
      <w:r>
        <w:rPr>
          <w:rFonts w:hint="eastAsia" w:ascii="楷体_GB2312" w:eastAsia="楷体_GB2312"/>
          <w:sz w:val="32"/>
          <w:szCs w:val="32"/>
        </w:rPr>
        <w:t>方向</w:t>
      </w:r>
      <w:r>
        <w:rPr>
          <w:rFonts w:ascii="楷体_GB2312" w:eastAsia="楷体_GB2312"/>
          <w:sz w:val="32"/>
          <w:szCs w:val="32"/>
        </w:rPr>
        <w:t>：</w:t>
      </w:r>
      <w:r>
        <w:rPr>
          <w:rFonts w:hint="eastAsia" w:ascii="仿宋_GB2312" w:hAnsi="仿宋_GB2312" w:eastAsia="仿宋_GB2312" w:cs="仿宋_GB2312"/>
          <w:sz w:val="32"/>
          <w:szCs w:val="32"/>
        </w:rPr>
        <w:t>独立或以第一作者身份在公开出版的学术期刊上发表科普相关论文不少于2项。</w:t>
      </w:r>
    </w:p>
    <w:p w14:paraId="314D03CC">
      <w:pPr>
        <w:pStyle w:val="13"/>
        <w:widowControl w:val="0"/>
        <w:numPr>
          <w:ilvl w:val="0"/>
          <w:numId w:val="2"/>
        </w:numPr>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作为主要执笔人撰写并得到省部级以上领导肯定性批示的科普研究报告不少于1篇；或作为主要执笔人撰写的科普相关国家标准不少于1项，或行业标准、地方标准不少于2项，或团体标准不少于3项。</w:t>
      </w:r>
    </w:p>
    <w:p w14:paraId="5E62C85D">
      <w:pPr>
        <w:pStyle w:val="13"/>
        <w:widowControl w:val="0"/>
        <w:numPr>
          <w:ilvl w:val="0"/>
          <w:numId w:val="2"/>
        </w:numPr>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主持制定经司局级以上主管部门批复实施的科普工作法律法规、指导性文件、规划、方案等不少于2篇。</w:t>
      </w:r>
    </w:p>
    <w:p w14:paraId="01D3DDA5">
      <w:pPr>
        <w:pStyle w:val="13"/>
        <w:widowControl w:val="0"/>
        <w:numPr>
          <w:ilvl w:val="0"/>
          <w:numId w:val="2"/>
        </w:numPr>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独立或以第一作者身份出版的较高水平科普研究类学术著作不少于1部或科普著（译）作不少于3部。其中，科普研究方向本人撰写部分每部不少于5万字并标注，科普内容资源创作和传播方向本人撰写部分每部不少于2万字并标注。</w:t>
      </w:r>
    </w:p>
    <w:p w14:paraId="1DD5961A">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（5）主持发明或设计的科普作品取得发明专利不少于1项，或实用新型专利、外观设计专利不少于2项；或主持开发的科普软件作品取得软件著作权不少于2项。</w:t>
      </w:r>
    </w:p>
    <w:p w14:paraId="18F4240E">
      <w:pPr>
        <w:pStyle w:val="13"/>
        <w:widowControl w:val="0"/>
        <w:adjustRightInd w:val="0"/>
        <w:snapToGrid w:val="0"/>
        <w:spacing w:before="0" w:beforeAutospacing="0" w:after="0" w:afterAutospacing="0" w:line="560" w:lineRule="exact"/>
        <w:ind w:firstLine="640" w:firstLineChars="200"/>
        <w:jc w:val="both"/>
        <w:outlineLvl w:val="1"/>
        <w:rPr>
          <w:rFonts w:hint="eastAsia" w:ascii="楷体_GB2312" w:hAnsi="黑体" w:eastAsia="楷体_GB2312"/>
          <w:sz w:val="32"/>
          <w:szCs w:val="32"/>
        </w:rPr>
      </w:pPr>
      <w:r>
        <w:rPr>
          <w:rFonts w:hint="eastAsia" w:ascii="楷体_GB2312" w:hAnsi="黑体" w:eastAsia="楷体_GB2312"/>
          <w:sz w:val="32"/>
          <w:szCs w:val="32"/>
        </w:rPr>
        <w:t>（四）研究员</w:t>
      </w:r>
    </w:p>
    <w:p w14:paraId="552C9711">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1.学历和专业工作要求。一般应具有大学本科以上学历或学士以上学位，且取得副研究员职称后，从事科普工作满5年。</w:t>
      </w:r>
    </w:p>
    <w:p w14:paraId="489CF549">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2.专业能力条件。具有扎实的科普理论功底和实践能力，精通科普领域政策法规，学术造诣深厚，是本研究领域的学术带头人；工作成绩突出，取得的专业技术成果具有重要学术价值和广泛社会影响力；能够开拓新的研究领域，创造性地解决技术难题，主持的科普项目达到显著规模、获得突出效益，在业内享有很高声誉；具有指导和培养副高级及以下科普专业技术人员的能力。</w:t>
      </w:r>
    </w:p>
    <w:p w14:paraId="2F04EEFD">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3.业绩条件。取得副高级职称后，应具备下列业绩中的任意一项：</w:t>
      </w:r>
    </w:p>
    <w:p w14:paraId="7EB6228A">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（1）科普研究方向</w:t>
      </w:r>
    </w:p>
    <w:p w14:paraId="54021A44">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主持省部级科普研究课题（项目）不少于2项，或作为主要完成人参与国家级科普研究课题（项目）不少于1项，按计划完成研究任务并通过验收。</w:t>
      </w:r>
    </w:p>
    <w:p w14:paraId="11AD43DD">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（2）科普内容资源创作和传播方向</w:t>
      </w:r>
    </w:p>
    <w:p w14:paraId="1A26596B">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符合下列条件之一：</w:t>
      </w:r>
    </w:p>
    <w:p w14:paraId="294CCE70">
      <w:pPr>
        <w:pStyle w:val="13"/>
        <w:widowControl w:val="0"/>
        <w:adjustRightInd w:val="0"/>
        <w:snapToGrid w:val="0"/>
        <w:spacing w:before="0" w:beforeAutospacing="0" w:after="0" w:afterAutospacing="0" w:line="560" w:lineRule="exact"/>
        <w:ind w:firstLine="624" w:firstLineChars="200"/>
        <w:jc w:val="both"/>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①主持创作</w:t>
      </w:r>
      <w:r>
        <w:rPr>
          <w:rFonts w:hint="eastAsia" w:ascii="仿宋_GB2312" w:hAnsi="仿宋_GB2312" w:eastAsia="仿宋_GB2312" w:cs="仿宋_GB2312"/>
          <w:sz w:val="32"/>
          <w:szCs w:val="32"/>
        </w:rPr>
        <w:t>司局级以上部门单位采用的</w:t>
      </w:r>
      <w:r>
        <w:rPr>
          <w:rFonts w:hint="eastAsia" w:ascii="仿宋_GB2312" w:hAnsi="仿宋_GB2312" w:eastAsia="仿宋_GB2312" w:cs="仿宋_GB2312"/>
          <w:spacing w:val="-4"/>
          <w:sz w:val="32"/>
          <w:szCs w:val="32"/>
        </w:rPr>
        <w:t>科普教材、课程、音视频、文创等不少于5个；</w:t>
      </w:r>
    </w:p>
    <w:p w14:paraId="79AB316A">
      <w:pPr>
        <w:pStyle w:val="13"/>
        <w:widowControl w:val="0"/>
        <w:adjustRightInd w:val="0"/>
        <w:snapToGrid w:val="0"/>
        <w:spacing w:before="0" w:beforeAutospacing="0" w:after="0" w:afterAutospacing="0" w:line="560" w:lineRule="exact"/>
        <w:ind w:firstLine="624" w:firstLineChars="200"/>
        <w:jc w:val="both"/>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②主持创作科普动漫、游戏、广播影视节目、电影、科普剧不少于2个；</w:t>
      </w:r>
    </w:p>
    <w:p w14:paraId="746D209A">
      <w:pPr>
        <w:pStyle w:val="13"/>
        <w:widowControl w:val="0"/>
        <w:adjustRightInd w:val="0"/>
        <w:snapToGrid w:val="0"/>
        <w:spacing w:before="0" w:beforeAutospacing="0" w:after="0" w:afterAutospacing="0" w:line="560" w:lineRule="exact"/>
        <w:ind w:firstLine="624" w:firstLineChars="200"/>
        <w:jc w:val="both"/>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③主持</w:t>
      </w:r>
      <w:r>
        <w:rPr>
          <w:rFonts w:hint="eastAsia" w:ascii="仿宋_GB2312" w:hAnsi="仿宋_GB2312" w:eastAsia="仿宋_GB2312" w:cs="仿宋_GB2312"/>
          <w:sz w:val="32"/>
          <w:szCs w:val="32"/>
        </w:rPr>
        <w:t>司局级以上部门单位或全国学会主办的</w:t>
      </w:r>
      <w:r>
        <w:rPr>
          <w:rFonts w:hint="eastAsia" w:ascii="仿宋_GB2312" w:hAnsi="仿宋_GB2312" w:eastAsia="仿宋_GB2312" w:cs="仿宋_GB2312"/>
          <w:spacing w:val="-4"/>
          <w:sz w:val="32"/>
          <w:szCs w:val="32"/>
        </w:rPr>
        <w:t>科普期刊、报纸专栏、网络专题组稿不少于24期；</w:t>
      </w:r>
    </w:p>
    <w:p w14:paraId="1979F14F">
      <w:pPr>
        <w:pStyle w:val="13"/>
        <w:widowControl w:val="0"/>
        <w:adjustRightInd w:val="0"/>
        <w:snapToGrid w:val="0"/>
        <w:spacing w:before="0" w:beforeAutospacing="0" w:after="0" w:afterAutospacing="0" w:line="560" w:lineRule="exact"/>
        <w:ind w:firstLine="624" w:firstLineChars="200"/>
        <w:jc w:val="both"/>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④作为主要完成人策划实施大型科普展览不少于2个或中型科普展览不少于4个或小型科普展览不少于8个；或主持研发在科普展览正式展出的科普展品不少于8个；或作为主要完成人撰写</w:t>
      </w:r>
      <w:r>
        <w:rPr>
          <w:rFonts w:hint="eastAsia" w:ascii="仿宋_GB2312" w:hAnsi="仿宋_GB2312" w:eastAsia="仿宋_GB2312" w:cs="仿宋_GB2312"/>
          <w:sz w:val="32"/>
          <w:szCs w:val="32"/>
        </w:rPr>
        <w:t>并被采纳使用的</w:t>
      </w:r>
      <w:r>
        <w:rPr>
          <w:rFonts w:hint="eastAsia" w:ascii="仿宋_GB2312" w:hAnsi="仿宋_GB2312" w:eastAsia="仿宋_GB2312" w:cs="仿宋_GB2312"/>
          <w:spacing w:val="-4"/>
          <w:sz w:val="32"/>
          <w:szCs w:val="32"/>
        </w:rPr>
        <w:t>大型科普展览讲解稿（不少于5000字）不少于10项；</w:t>
      </w:r>
    </w:p>
    <w:p w14:paraId="4D9F9174">
      <w:pPr>
        <w:pStyle w:val="13"/>
        <w:widowControl w:val="0"/>
        <w:adjustRightInd w:val="0"/>
        <w:snapToGrid w:val="0"/>
        <w:spacing w:before="0" w:beforeAutospacing="0" w:after="0" w:afterAutospacing="0" w:line="560" w:lineRule="exact"/>
        <w:ind w:firstLine="62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⑤</w:t>
      </w:r>
      <w:r>
        <w:rPr>
          <w:rFonts w:hint="eastAsia" w:ascii="仿宋_GB2312" w:hAnsi="仿宋_GB2312" w:eastAsia="仿宋_GB2312" w:cs="仿宋_GB2312"/>
          <w:sz w:val="32"/>
          <w:szCs w:val="32"/>
        </w:rPr>
        <w:t>主持策划实施省部级单位举办的科普活动或科技赛事不少于3次，或司局级单位举办的不少于6次；或策划实施实用技术培训不少于40次；</w:t>
      </w:r>
    </w:p>
    <w:p w14:paraId="7D8475D0">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pacing w:val="-4"/>
          <w:sz w:val="32"/>
          <w:szCs w:val="32"/>
        </w:rPr>
      </w:pPr>
      <w:r>
        <w:rPr>
          <w:rFonts w:hint="eastAsia" w:ascii="仿宋_GB2312" w:hAnsi="仿宋_GB2312" w:eastAsia="仿宋_GB2312" w:cs="仿宋_GB2312"/>
          <w:sz w:val="32"/>
          <w:szCs w:val="32"/>
        </w:rPr>
        <w:t>⑥</w:t>
      </w:r>
      <w:r>
        <w:rPr>
          <w:rFonts w:hint="eastAsia" w:ascii="仿宋_GB2312" w:hAnsi="仿宋_GB2312" w:eastAsia="仿宋_GB2312" w:cs="仿宋_GB2312"/>
          <w:spacing w:val="-4"/>
          <w:sz w:val="32"/>
          <w:szCs w:val="32"/>
        </w:rPr>
        <w:t>作为主讲人录制省部级广播电视机构主办的科技广播、影视节目不少于4次；</w:t>
      </w:r>
    </w:p>
    <w:p w14:paraId="6BB69B76">
      <w:pPr>
        <w:pStyle w:val="13"/>
        <w:widowControl w:val="0"/>
        <w:adjustRightInd w:val="0"/>
        <w:snapToGrid w:val="0"/>
        <w:spacing w:before="0" w:beforeAutospacing="0" w:after="0" w:afterAutospacing="0" w:line="560" w:lineRule="exact"/>
        <w:ind w:firstLine="624" w:firstLineChars="200"/>
        <w:jc w:val="both"/>
        <w:rPr>
          <w:rFonts w:hint="eastAsia" w:ascii="仿宋_GB2312"/>
          <w:sz w:val="32"/>
          <w:szCs w:val="32"/>
        </w:rPr>
      </w:pPr>
      <w:r>
        <w:rPr>
          <w:rFonts w:hint="eastAsia" w:ascii="仿宋_GB2312" w:hAnsi="仿宋_GB2312" w:eastAsia="仿宋_GB2312" w:cs="仿宋_GB2312"/>
          <w:spacing w:val="-4"/>
          <w:sz w:val="32"/>
          <w:szCs w:val="32"/>
        </w:rPr>
        <w:t>⑦</w:t>
      </w:r>
      <w:r>
        <w:rPr>
          <w:rFonts w:hint="eastAsia" w:ascii="仿宋_GB2312" w:hAnsi="仿宋_GB2312" w:eastAsia="仿宋_GB2312" w:cs="仿宋_GB2312"/>
          <w:sz w:val="32"/>
          <w:szCs w:val="32"/>
        </w:rPr>
        <w:t>面向社会公众主讲科普报告不少于30次且受众总人次不少于3000人。</w:t>
      </w:r>
    </w:p>
    <w:p w14:paraId="2507D72D">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4.学术技术条件。取得副高级职称后，应具备下列成果条件之一：</w:t>
      </w:r>
    </w:p>
    <w:p w14:paraId="5905AABE">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（1）发表论文条件</w:t>
      </w:r>
    </w:p>
    <w:p w14:paraId="4CD9DA31">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楷体_GB2312" w:eastAsia="楷体_GB2312"/>
          <w:sz w:val="32"/>
          <w:szCs w:val="32"/>
        </w:rPr>
        <w:t>科普</w:t>
      </w:r>
      <w:r>
        <w:rPr>
          <w:rFonts w:ascii="楷体_GB2312" w:eastAsia="楷体_GB2312"/>
          <w:sz w:val="32"/>
          <w:szCs w:val="32"/>
        </w:rPr>
        <w:t>研究方向：</w:t>
      </w:r>
      <w:r>
        <w:rPr>
          <w:rFonts w:hint="eastAsia" w:ascii="仿宋_GB2312" w:hAnsi="仿宋_GB2312" w:eastAsia="仿宋_GB2312" w:cs="仿宋_GB2312"/>
          <w:sz w:val="32"/>
          <w:szCs w:val="32"/>
        </w:rPr>
        <w:t>独立或以第一作者身份在公开出版的学术期刊上发表科普研究论文不少于4篇，其中在核心期刊发表或SCI（SSCI、EI）收录的论文不少于2篇。</w:t>
      </w:r>
    </w:p>
    <w:p w14:paraId="140929A0">
      <w:pPr>
        <w:pStyle w:val="13"/>
        <w:widowControl w:val="0"/>
        <w:adjustRightInd w:val="0"/>
        <w:snapToGrid w:val="0"/>
        <w:spacing w:before="0" w:beforeAutospacing="0" w:after="0" w:afterAutospacing="0" w:line="560" w:lineRule="exact"/>
        <w:ind w:firstLine="640" w:firstLineChars="200"/>
        <w:jc w:val="both"/>
        <w:rPr>
          <w:rFonts w:hint="eastAsia" w:ascii="仿宋_GB2312"/>
          <w:sz w:val="32"/>
          <w:szCs w:val="32"/>
        </w:rPr>
      </w:pPr>
      <w:r>
        <w:rPr>
          <w:rFonts w:hint="eastAsia" w:ascii="楷体_GB2312" w:eastAsia="楷体_GB2312"/>
          <w:sz w:val="32"/>
          <w:szCs w:val="32"/>
        </w:rPr>
        <w:t>科普内容资源创作和</w:t>
      </w:r>
      <w:r>
        <w:rPr>
          <w:rFonts w:ascii="楷体_GB2312" w:eastAsia="楷体_GB2312"/>
          <w:sz w:val="32"/>
          <w:szCs w:val="32"/>
        </w:rPr>
        <w:t>传播</w:t>
      </w:r>
      <w:r>
        <w:rPr>
          <w:rFonts w:hint="eastAsia" w:ascii="楷体_GB2312" w:eastAsia="楷体_GB2312"/>
          <w:sz w:val="32"/>
          <w:szCs w:val="32"/>
        </w:rPr>
        <w:t>方向：</w:t>
      </w:r>
      <w:r>
        <w:rPr>
          <w:rFonts w:hint="eastAsia" w:ascii="仿宋_GB2312" w:hAnsi="仿宋_GB2312" w:eastAsia="仿宋_GB2312" w:cs="仿宋_GB2312"/>
          <w:sz w:val="32"/>
          <w:szCs w:val="32"/>
        </w:rPr>
        <w:t>独立或以第一作者身份在公开出版的学术期刊上发表科普相关论文不少于2篇，其中在核心期刊发表或SCI（SSCI、EI）收录的论文不少于1篇。</w:t>
      </w:r>
    </w:p>
    <w:p w14:paraId="75B5D0AD">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独立或以第一作者身份创作的科普文章（单篇字数不少于1500字），在中央主流媒体或其他主流媒体刊发，形成网络传播且单篇阅读量不少于50万的，可视为等同于核心期刊发表或SCI（SSCI、EI）收录的论文。</w:t>
      </w:r>
    </w:p>
    <w:p w14:paraId="50511EFA">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（2）作为主要执笔人撰写并得到省部级以上领导肯定性批示的科普研究报告不少于2篇；或作为主要执笔人撰写的科普相关国家标准不少于2项，或行业标准、地方标准不少于4项，或团体标准不少于6项。</w:t>
      </w:r>
    </w:p>
    <w:p w14:paraId="4A24BC0B">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（3）主持制定经省部级以上主管部门批复实施的科普工作法律法规、指导性文件、规划、方案等不少于2项。</w:t>
      </w:r>
    </w:p>
    <w:p w14:paraId="2F823B8F">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独立或以第一作者身份出版的较高水平科普研究类学术著作不少于2部或科普著（译）作不少于6部。其中，科普研究方向本人撰写部分每部不少于5万字并标注，科普内容资源创作和传播方向本人撰写部分每部不少于2万字并标注。</w:t>
      </w:r>
    </w:p>
    <w:p w14:paraId="0B193F81">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（5）主持发明或设计的科普作品取得发明专利不少于2项，或实用新型专利、外观设计专利不少于4项；或主持开发的科普软件作品取得软件著作权不少于4项。</w:t>
      </w:r>
    </w:p>
    <w:p w14:paraId="6DC1FE61">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五、代表作要求</w:t>
      </w:r>
    </w:p>
    <w:p w14:paraId="579A2D79">
      <w:pPr>
        <w:pStyle w:val="13"/>
        <w:widowControl w:val="0"/>
        <w:adjustRightInd w:val="0"/>
        <w:snapToGrid w:val="0"/>
        <w:spacing w:before="0" w:beforeAutospacing="0" w:after="0" w:afterAutospacing="0" w:line="56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sz w:val="32"/>
          <w:szCs w:val="32"/>
        </w:rPr>
        <w:t>申报人员需在学术技术条件中指定代表作，其中助理研究员不少于1项，副研究员不少于2项，研究员不少于3项。</w:t>
      </w:r>
    </w:p>
    <w:p w14:paraId="10A92645">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六、破格条件</w:t>
      </w:r>
    </w:p>
    <w:p w14:paraId="33F9B0BF">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对专业能力强，业绩、贡献特别突出，在科普领域内具有较大影响力，承担重大任务、重点工作成效显著的专业技术人员，可适当放宽学历、年限条件破格申报，其中破格年限不超过2年。</w:t>
      </w:r>
    </w:p>
    <w:p w14:paraId="063BF6A1">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（一）破格申报正高级职称，取得副高级职称以来具备以下一项条件：</w:t>
      </w:r>
    </w:p>
    <w:p w14:paraId="24917290">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1.获国家科技进步二等奖（科普项目），科普领域省（部）级一等奖以上奖项（前三完成人）。</w:t>
      </w:r>
    </w:p>
    <w:p w14:paraId="2637D80B">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2.获得全民科学素质工作先进个人、全国科普工作先进工作者等称号，或为先进集体主要负责人；入选省部级以上“最美科技工作者”。</w:t>
      </w:r>
    </w:p>
    <w:p w14:paraId="7140B9DD">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3.以独立或第一作者身份在顶级期刊发表论文2篇。</w:t>
      </w:r>
    </w:p>
    <w:p w14:paraId="3774C84C">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（二）破格申报副高级职称，取得中级职称以来具备以下一项条件：</w:t>
      </w:r>
    </w:p>
    <w:p w14:paraId="6D4798D3">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1.获国家科技进步二等奖（科普项目）、科普领域省（部）级一等奖以上奖项（前五完成人），或科普领域省（部）级二等奖以上奖项（前三完成人）。</w:t>
      </w:r>
    </w:p>
    <w:p w14:paraId="37C22150">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2.获得全民科学素质工作先进个人、全国科普工作先进工作者等称号，或为先进集体主要负责人；入选省部级以上“最美科技工作者”。</w:t>
      </w:r>
    </w:p>
    <w:p w14:paraId="008F9615">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3.以独立或第一作者身份在顶级期刊发表论文1篇。</w:t>
      </w:r>
    </w:p>
    <w:p w14:paraId="20F7F621">
      <w:pPr>
        <w:widowControl w:val="0"/>
        <w:spacing w:line="560" w:lineRule="exact"/>
        <w:rPr>
          <w:rFonts w:hint="eastAsia" w:ascii="小标宋" w:hAnsi="小标宋" w:eastAsia="小标宋"/>
        </w:rPr>
      </w:pPr>
    </w:p>
    <w:p w14:paraId="2123AE63">
      <w:pPr>
        <w:widowControl w:val="0"/>
        <w:spacing w:line="560" w:lineRule="exact"/>
        <w:rPr>
          <w:rFonts w:hint="eastAsia" w:ascii="小标宋" w:hAnsi="小标宋" w:eastAsia="小标宋"/>
        </w:rPr>
      </w:pPr>
    </w:p>
    <w:p w14:paraId="038CFF5A">
      <w:pPr>
        <w:widowControl w:val="0"/>
        <w:autoSpaceDE/>
        <w:autoSpaceDN/>
        <w:snapToGrid w:val="0"/>
        <w:spacing w:before="120" w:beforeLines="50" w:after="360" w:afterLines="150" w:line="700" w:lineRule="exact"/>
        <w:jc w:val="center"/>
        <w:rPr>
          <w:rFonts w:hint="eastAsia" w:ascii="小标宋" w:hAnsi="小标宋" w:eastAsia="小标宋" w:cs="小标宋"/>
          <w:sz w:val="44"/>
          <w:szCs w:val="44"/>
        </w:rPr>
      </w:pPr>
      <w:r>
        <w:rPr>
          <w:rFonts w:hint="eastAsia" w:ascii="小标宋" w:hAnsi="小标宋" w:eastAsia="小标宋"/>
        </w:rPr>
        <w:br w:type="page"/>
      </w:r>
      <w:r>
        <w:rPr>
          <w:rFonts w:hint="eastAsia" w:ascii="小标宋" w:hAnsi="小标宋" w:eastAsia="小标宋" w:cs="小标宋"/>
          <w:sz w:val="44"/>
          <w:szCs w:val="44"/>
        </w:rPr>
        <w:t>有关词（语）或概念的特定解释</w:t>
      </w:r>
    </w:p>
    <w:p w14:paraId="719AFFD3">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一、凡注有“以上”的，均含本级或本数量（除特别标注不含外）。如“5年以上”含5年。</w:t>
      </w:r>
    </w:p>
    <w:p w14:paraId="742524E4">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二、学历：指国家承认的国民教育序列的学历。取得国（境）外学历的，须提供国家教育主管部门的认证材料。</w:t>
      </w:r>
    </w:p>
    <w:p w14:paraId="2EBC603C">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三、科普：一般指以通俗易懂的方式向公众普及科学技术知识、倡导科学方法、传播科学思想、弘扬科学精神的活动。</w:t>
      </w:r>
    </w:p>
    <w:p w14:paraId="3CCBA0E3">
      <w:pPr>
        <w:pStyle w:val="3"/>
        <w:widowControl w:val="0"/>
        <w:overflowPunct/>
        <w:autoSpaceDE/>
        <w:autoSpaceDN/>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科普继续教育：指参加中国科协或各部委层面组织或授权组织的科普培训、科普学术会议等学习、实践活动以及在中国网络干部学院、学习强国等平台进行的科普专题学习。学时计算以培训认证、学术会议参会证明、学习时长等为依据。</w:t>
      </w:r>
    </w:p>
    <w:p w14:paraId="6E57A3BF">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五、科普研究课题（项目）</w:t>
      </w:r>
    </w:p>
    <w:p w14:paraId="1A271243">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国家级：国家自然科学基金、国家科技重大专项、国家重点研发计划、技术创新引导专项（基金）、基地和人才专项等国家五类科技计划，国家社科基金项目、国家标准编制项目等。</w:t>
      </w:r>
    </w:p>
    <w:p w14:paraId="73FAE535">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省部级：中央和国家机关有关部委（含内设司局部门）、省级党委政府（含科学技术、发展和改革等主管部门）立项的项目或重大研究性调研课题。国家级项目的子项目，视为省部级项目。</w:t>
      </w:r>
    </w:p>
    <w:p w14:paraId="4453E191">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司局级：司局级部门单位立项的课题（项目）。</w:t>
      </w:r>
    </w:p>
    <w:p w14:paraId="5EE95D3C">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上述各级课题（项目）需与科普相关，科技类项目需有科技成果科普转化方面的贡献及佐证材料。</w:t>
      </w:r>
    </w:p>
    <w:p w14:paraId="126B4FA2">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六、科普教材、课程：以科学普及为目的，在正规教学或校外教育中进行的，包含教学目标、教学内容、教学过程、教学方法及评价方式等基本要素，可供系统性学习的实物和数字形式的教学材料。</w:t>
      </w:r>
    </w:p>
    <w:p w14:paraId="75217766">
      <w:pPr>
        <w:pStyle w:val="13"/>
        <w:widowControl w:val="0"/>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七、科普音视频：以科学普及为目的，在公开平台进行传播，以音频、视频形式呈现的数字科普资源。其中音频不少于10分钟，视频不少于5分钟。视频应包含片头、正片、片尾等基本要素且能体现作品权属情况。</w:t>
      </w:r>
    </w:p>
    <w:p w14:paraId="0304961B">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科普文创:以科学普及为目的，通过创意设计，将科学元素融入兼具实用、艺术或收藏功能的载体中，形成的可以传播科学文化、满足公众精神需求，并具有一定社会影响力的文化创意产品。需经相关部门批准公开发布。</w:t>
      </w:r>
    </w:p>
    <w:p w14:paraId="48DA6DF0">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九、举办科普活动：以报告会、广播、电视、报刊、网络或其他形式举办的科普讲座、报告和活动等，组织相关专业专家组成智力团体，以科学技术为依据，向社会和公众提供的智力服务。</w:t>
      </w:r>
    </w:p>
    <w:p w14:paraId="4A8556EB">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十、科普动漫、游戏：需经行政主管部门批准公开发布。</w:t>
      </w:r>
    </w:p>
    <w:p w14:paraId="75A2BFDD">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科普剧：指通过演员表演、舞台氛围营造、现场科学体验互动等方式呈现的一种科学与艺术相结合的舞台表演形式，时长不少于30分钟，公开演出不少于10场。主要包括科普小品、音乐剧、话剧、哑剧、诗剧、木偶剧等。</w:t>
      </w:r>
    </w:p>
    <w:p w14:paraId="2B996AA5">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十二、科普展品：以科学普及为目的，通过合适的技术手段立体直观、生动形象、通俗易懂地展现科学内容，经专门设计后制造或集成的科普展教实体设备。</w:t>
      </w:r>
    </w:p>
    <w:p w14:paraId="45A40622">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十三、科普展览：指有特定主题的，以弘扬科学精神、科学家精神、普及科学知识为主要目标，通过实物展品、图片、多媒体和场景景观等多种形式进行科普宣传、教育的展览。</w:t>
      </w:r>
    </w:p>
    <w:p w14:paraId="755647F0">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大型科普展览——指展示面积达800（含）平方米以上的，或展线达200（含）米以上的科普展览。</w:t>
      </w:r>
    </w:p>
    <w:p w14:paraId="7BD5BBAE">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中型科普展览——指展示面积达500（含）平方米至800平方米的，或展线达100（含）米至200米的科普展览。</w:t>
      </w:r>
    </w:p>
    <w:p w14:paraId="7CEE053A">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小型科普展览——指展示面积为500平方米以下的，或展线100米以下的科普展览。</w:t>
      </w:r>
    </w:p>
    <w:p w14:paraId="2B8055C4">
      <w:pPr>
        <w:widowControl w:val="0"/>
        <w:overflowPunct/>
        <w:autoSpaceDE/>
        <w:autoSpaceDN/>
        <w:snapToGrid w:val="0"/>
        <w:spacing w:line="560" w:lineRule="exact"/>
        <w:ind w:firstLine="596"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十四、科普信息资源平台：包括科技馆、博物馆门户网站，科学传播网站或平台、APP，虚拟科技馆、数字化展览，以及在社交媒体平台上开通的、通过权威部门鉴定的科普账户或公众号等。</w:t>
      </w:r>
    </w:p>
    <w:p w14:paraId="1D464AB3">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十五、期刊</w:t>
      </w:r>
    </w:p>
    <w:p w14:paraId="5B18E60A">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学术期刊：指有CN、ISSN书刊号的出版物（不含电子期刊、增刊、副刊、年刊等），主要内容为刊载‌研究发现和创新成果‌的学术论文或文献。国外公开发行的科技刊物参照执行。</w:t>
      </w:r>
    </w:p>
    <w:p w14:paraId="300C0A7D">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核心期刊：主要包括《中文核心期刊要目总览》中收录的核心期刊、《中国科学引文数据库-核心库》和《中文社会科学引文索引》来源期刊。</w:t>
      </w:r>
    </w:p>
    <w:p w14:paraId="44D1DCBE">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顶级期刊包括：SSCI、SCI一区期刊（暂沿用2025年中科院期刊分区表），社科院中国人文社会科学期刊AMI综合评价为“顶级”期刊。</w:t>
      </w:r>
    </w:p>
    <w:p w14:paraId="3594B20B">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刊物的增刊、特刊、专刊、专辑、征稿通知、清样稿以及论文集不作为评审依据。</w:t>
      </w:r>
    </w:p>
    <w:p w14:paraId="7E2A6BAD">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十六、主流媒体</w:t>
      </w:r>
    </w:p>
    <w:p w14:paraId="5809F6F4">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主流媒体：指人民日报社、新华通讯社、中央广播电视总台、求是杂志社、解放军新闻传播中心、光明日报社、经济日报社、中国日报社、科技日报社、人民政协报社、中央纪委国家监委新闻传播中心、中国新闻社、学习时报社、工人日报社、中国青年报社、中国妇女报社、农民日报社、法治日报社、中国文化报社等中央主要新闻单位直接主办的媒体。</w:t>
      </w:r>
    </w:p>
    <w:p w14:paraId="2EC60F77">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其它主流媒体主要指省部级单位报刊、官网、公众号，科普中国一级平台。</w:t>
      </w:r>
    </w:p>
    <w:p w14:paraId="19556E78">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十七、主持：以该项目的正式证书、文件、合同等为准，应排名前二。</w:t>
      </w:r>
    </w:p>
    <w:p w14:paraId="5506FB20">
      <w:pPr>
        <w:widowControl w:val="0"/>
        <w:tabs>
          <w:tab w:val="left" w:pos="7560"/>
        </w:tabs>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十八、主要执笔人：排名前三。</w:t>
      </w:r>
    </w:p>
    <w:p w14:paraId="34DCCCEC">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十九、主要完成人：排名前四。</w:t>
      </w:r>
    </w:p>
    <w:p w14:paraId="10A8B0ED">
      <w:pPr>
        <w:widowControl w:val="0"/>
        <w:overflowPunct/>
        <w:autoSpaceDE/>
        <w:autoSpaceDN/>
        <w:snapToGrid w:val="0"/>
        <w:spacing w:line="560" w:lineRule="exact"/>
        <w:ind w:firstLine="640" w:firstLineChars="200"/>
        <w:textAlignment w:val="auto"/>
        <w:rPr>
          <w:rFonts w:hint="eastAsia" w:ascii="仿宋_GB2312" w:hAnsi="仿宋_GB2312" w:eastAsia="仿宋_GB2312" w:cs="仿宋_GB2312"/>
          <w:sz w:val="32"/>
          <w:szCs w:val="32"/>
        </w:rPr>
      </w:pPr>
    </w:p>
    <w:p w14:paraId="51ED1187">
      <w:pPr>
        <w:pStyle w:val="13"/>
        <w:widowControl w:val="0"/>
        <w:autoSpaceDE w:val="0"/>
        <w:autoSpaceDN w:val="0"/>
        <w:spacing w:before="0" w:beforeAutospacing="0" w:after="0" w:afterAutospacing="0" w:line="560" w:lineRule="exact"/>
        <w:jc w:val="both"/>
        <w:rPr>
          <w:rFonts w:ascii="仿宋_GB2312" w:hAnsi="仿宋" w:eastAsia="仿宋_GB2312"/>
          <w:sz w:val="32"/>
          <w:szCs w:val="32"/>
        </w:rPr>
      </w:pPr>
    </w:p>
    <w:p w14:paraId="295F52FC">
      <w:pPr>
        <w:widowControl w:val="0"/>
        <w:tabs>
          <w:tab w:val="right" w:pos="9720"/>
        </w:tabs>
        <w:spacing w:line="500" w:lineRule="exact"/>
        <w:ind w:right="280" w:rightChars="100"/>
        <w:textAlignment w:val="bottom"/>
        <w:rPr>
          <w:rFonts w:hint="eastAsia" w:eastAsia="仿宋_GB2312"/>
          <w:szCs w:val="28"/>
        </w:rPr>
      </w:pPr>
    </w:p>
    <w:sectPr>
      <w:footerReference r:id="rId4" w:type="default"/>
      <w:headerReference r:id="rId3" w:type="even"/>
      <w:footerReference r:id="rId5" w:type="even"/>
      <w:pgSz w:w="11907" w:h="16840"/>
      <w:pgMar w:top="1701" w:right="1474" w:bottom="992" w:left="1588" w:header="0" w:footer="1644" w:gutter="0"/>
      <w:cols w:space="720" w:num="1"/>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小标宋">
    <w:altName w:val="微软雅黑"/>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869F5">
    <w:pPr>
      <w:pStyle w:val="10"/>
      <w:ind w:right="360"/>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FCB9A0">
                          <w:pPr>
                            <w:pStyle w:val="10"/>
                          </w:pPr>
                          <w:r>
                            <w:t xml:space="preserve">— </w:t>
                          </w:r>
                          <w:r>
                            <w:fldChar w:fldCharType="begin"/>
                          </w:r>
                          <w:r>
                            <w:instrText xml:space="preserve"> PAGE  \* MERGEFORMAT </w:instrText>
                          </w:r>
                          <w:r>
                            <w:fldChar w:fldCharType="separate"/>
                          </w:r>
                          <w:r>
                            <w:rPr>
                              <w:lang/>
                            </w:rPr>
                            <w:t>5</w:t>
                          </w:r>
                          <w:r>
                            <w:fldChar w:fldCharType="end"/>
                          </w:r>
                          <w:r>
                            <w:t xml:space="preserve"> —</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fill on="f" focussize="0,0"/>
              <v:stroke on="f"/>
              <v:imagedata o:title=""/>
              <o:lock v:ext="edit" aspectratio="f"/>
              <v:textbox inset="0mm,0mm,0mm,0mm" style="mso-fit-shape-to-text:t;">
                <w:txbxContent>
                  <w:p w14:paraId="58FCB9A0">
                    <w:pPr>
                      <w:pStyle w:val="10"/>
                    </w:pPr>
                    <w:r>
                      <w:t xml:space="preserve">— </w:t>
                    </w:r>
                    <w:r>
                      <w:fldChar w:fldCharType="begin"/>
                    </w:r>
                    <w:r>
                      <w:instrText xml:space="preserve"> PAGE  \* MERGEFORMAT </w:instrText>
                    </w:r>
                    <w:r>
                      <w:fldChar w:fldCharType="separate"/>
                    </w:r>
                    <w:r>
                      <w:rPr>
                        <w:lang/>
                      </w:rPr>
                      <w:t>5</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C9F80">
    <w:pPr>
      <w:pStyle w:val="10"/>
      <w:framePr w:wrap="around" w:vAnchor="text" w:hAnchor="margin" w:xAlign="outside" w:y="1"/>
      <w:rPr>
        <w:rStyle w:val="18"/>
      </w:rPr>
    </w:pPr>
    <w:r>
      <w:fldChar w:fldCharType="begin"/>
    </w:r>
    <w:r>
      <w:rPr>
        <w:rStyle w:val="18"/>
      </w:rPr>
      <w:instrText xml:space="preserve">PAGE  </w:instrText>
    </w:r>
    <w:r>
      <w:fldChar w:fldCharType="separate"/>
    </w:r>
    <w:r>
      <w:fldChar w:fldCharType="end"/>
    </w:r>
  </w:p>
  <w:p w14:paraId="1BFA2D5F">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F2DE9">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9F60A3"/>
    <w:multiLevelType w:val="singleLevel"/>
    <w:tmpl w:val="B29F60A3"/>
    <w:lvl w:ilvl="0" w:tentative="0">
      <w:start w:val="1"/>
      <w:numFmt w:val="decimal"/>
      <w:suff w:val="nothing"/>
      <w:lvlText w:val="（%1）"/>
      <w:lvlJc w:val="left"/>
    </w:lvl>
  </w:abstractNum>
  <w:abstractNum w:abstractNumId="1">
    <w:nsid w:val="E8DBD383"/>
    <w:multiLevelType w:val="singleLevel"/>
    <w:tmpl w:val="E8DBD38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6"/>
  <w:drawingGridVerticalSpacing w:val="190"/>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A5D"/>
    <w:rsid w:val="000C4EBA"/>
    <w:rsid w:val="002A1A5F"/>
    <w:rsid w:val="002A7B19"/>
    <w:rsid w:val="002C6152"/>
    <w:rsid w:val="002C63B2"/>
    <w:rsid w:val="00305AAA"/>
    <w:rsid w:val="0053250F"/>
    <w:rsid w:val="005A03AE"/>
    <w:rsid w:val="006664BC"/>
    <w:rsid w:val="00772F91"/>
    <w:rsid w:val="007D1671"/>
    <w:rsid w:val="007E2CA9"/>
    <w:rsid w:val="008D3B73"/>
    <w:rsid w:val="009B555E"/>
    <w:rsid w:val="00A2746D"/>
    <w:rsid w:val="00A76279"/>
    <w:rsid w:val="00A869A8"/>
    <w:rsid w:val="00B40DB9"/>
    <w:rsid w:val="00B53DE0"/>
    <w:rsid w:val="00BC5F51"/>
    <w:rsid w:val="00D353B8"/>
    <w:rsid w:val="00EC6F34"/>
    <w:rsid w:val="00F0321C"/>
    <w:rsid w:val="10EE057E"/>
    <w:rsid w:val="1E6A0713"/>
    <w:rsid w:val="31551BAD"/>
    <w:rsid w:val="32D15728"/>
    <w:rsid w:val="5C4E074F"/>
    <w:rsid w:val="5F7F7952"/>
    <w:rsid w:val="71CF4549"/>
    <w:rsid w:val="7DFF869D"/>
    <w:rsid w:val="7FB78DA0"/>
    <w:rsid w:val="7FBF300E"/>
    <w:rsid w:val="7FFF4F7F"/>
    <w:rsid w:val="9FF4ABE3"/>
    <w:rsid w:val="BBB5E0E3"/>
    <w:rsid w:val="BBF04DAC"/>
    <w:rsid w:val="BEBF699F"/>
    <w:rsid w:val="BFFE3188"/>
    <w:rsid w:val="DEF78580"/>
    <w:rsid w:val="DEFF6C15"/>
    <w:rsid w:val="EFFEE5D2"/>
    <w:rsid w:val="F7F73FB6"/>
    <w:rsid w:val="F7FFAF81"/>
    <w:rsid w:val="FD9484C2"/>
    <w:rsid w:val="FED7ED18"/>
    <w:rsid w:val="FEDB1F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nhideWhenUsed="0" w:uiPriority="0" w:semiHidden="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sz w:val="28"/>
      <w:lang w:val="en-US" w:eastAsia="zh-CN" w:bidi="ar-SA"/>
    </w:rPr>
  </w:style>
  <w:style w:type="character" w:default="1" w:styleId="16">
    <w:name w:val="Default Paragraph Font"/>
    <w:uiPriority w:val="0"/>
  </w:style>
  <w:style w:type="table" w:default="1" w:styleId="14">
    <w:name w:val="Normal Table"/>
    <w:unhideWhenUsed/>
    <w:uiPriority w:val="99"/>
    <w:tblPr>
      <w:tblStyle w:val="14"/>
      <w:tblCellMar>
        <w:top w:w="0" w:type="dxa"/>
        <w:left w:w="108" w:type="dxa"/>
        <w:bottom w:w="0" w:type="dxa"/>
        <w:right w:w="108" w:type="dxa"/>
      </w:tblCellMar>
    </w:tblPr>
  </w:style>
  <w:style w:type="paragraph" w:styleId="2">
    <w:name w:val="macro"/>
    <w:uiPriority w:val="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rPr>
      <w:lang w:val="en-US" w:eastAsia="zh-CN" w:bidi="ar-SA"/>
    </w:rPr>
  </w:style>
  <w:style w:type="paragraph" w:styleId="3">
    <w:name w:val="annotation text"/>
    <w:basedOn w:val="1"/>
    <w:unhideWhenUsed/>
    <w:qFormat/>
    <w:uiPriority w:val="99"/>
    <w:pPr>
      <w:jc w:val="left"/>
    </w:pPr>
  </w:style>
  <w:style w:type="paragraph" w:styleId="4">
    <w:name w:val="Body Text"/>
    <w:basedOn w:val="1"/>
    <w:uiPriority w:val="0"/>
    <w:pPr>
      <w:spacing w:before="1200" w:beforeLines="0" w:line="20" w:lineRule="exact"/>
    </w:pPr>
    <w:rPr>
      <w:rFonts w:ascii="仿宋_GB2312" w:eastAsia="仿宋_GB2312"/>
      <w:sz w:val="30"/>
    </w:rPr>
  </w:style>
  <w:style w:type="paragraph" w:styleId="5">
    <w:name w:val="Body Text Indent"/>
    <w:basedOn w:val="1"/>
    <w:uiPriority w:val="0"/>
    <w:pPr>
      <w:ind w:firstLine="555"/>
    </w:pPr>
    <w:rPr>
      <w:rFonts w:ascii="仿宋_GB2312" w:eastAsia="仿宋_GB2312"/>
      <w:sz w:val="32"/>
    </w:rPr>
  </w:style>
  <w:style w:type="paragraph" w:styleId="6">
    <w:name w:val="Plain Text"/>
    <w:basedOn w:val="1"/>
    <w:qFormat/>
    <w:uiPriority w:val="0"/>
    <w:rPr>
      <w:rFonts w:ascii="宋体" w:hAnsi="Courier New" w:eastAsia="宋体" w:cs="Times New Roman"/>
    </w:rPr>
  </w:style>
  <w:style w:type="paragraph" w:styleId="7">
    <w:name w:val="Date"/>
    <w:basedOn w:val="1"/>
    <w:next w:val="1"/>
    <w:uiPriority w:val="0"/>
    <w:pPr>
      <w:ind w:left="100" w:leftChars="2500"/>
    </w:pPr>
    <w:rPr>
      <w:rFonts w:ascii="仿宋_GB2312" w:eastAsia="仿宋_GB2312"/>
      <w:sz w:val="30"/>
    </w:rPr>
  </w:style>
  <w:style w:type="paragraph" w:styleId="8">
    <w:name w:val="Body Text Indent 2"/>
    <w:basedOn w:val="1"/>
    <w:uiPriority w:val="0"/>
    <w:pPr>
      <w:spacing w:line="560" w:lineRule="exact"/>
      <w:ind w:firstLine="630" w:firstLineChars="210"/>
      <w:textAlignment w:val="bottom"/>
    </w:pPr>
    <w:rPr>
      <w:rFonts w:eastAsia="仿宋_GB2312"/>
      <w:sz w:val="30"/>
    </w:rPr>
  </w:style>
  <w:style w:type="paragraph" w:styleId="9">
    <w:name w:val="Balloon Text"/>
    <w:basedOn w:val="1"/>
    <w:link w:val="20"/>
    <w:uiPriority w:val="0"/>
    <w:rPr>
      <w:sz w:val="18"/>
      <w:szCs w:val="18"/>
    </w:rPr>
  </w:style>
  <w:style w:type="paragraph" w:styleId="10">
    <w:name w:val="footer"/>
    <w:basedOn w:val="1"/>
    <w:link w:val="21"/>
    <w:uiPriority w:val="0"/>
    <w:pPr>
      <w:tabs>
        <w:tab w:val="center" w:pos="4153"/>
        <w:tab w:val="right" w:pos="8306"/>
      </w:tabs>
    </w:pPr>
  </w:style>
  <w:style w:type="paragraph" w:styleId="11">
    <w:name w:val="header"/>
    <w:basedOn w:val="1"/>
    <w:uiPriority w:val="0"/>
    <w:pPr>
      <w:tabs>
        <w:tab w:val="center" w:pos="4153"/>
        <w:tab w:val="right" w:pos="8306"/>
      </w:tabs>
    </w:pPr>
    <w:rPr>
      <w:sz w:val="20"/>
    </w:rPr>
  </w:style>
  <w:style w:type="paragraph" w:styleId="12">
    <w:name w:val="Body Text Indent 3"/>
    <w:basedOn w:val="1"/>
    <w:uiPriority w:val="0"/>
    <w:pPr>
      <w:spacing w:line="580" w:lineRule="exact"/>
      <w:ind w:firstLine="600" w:firstLineChars="200"/>
    </w:pPr>
    <w:rPr>
      <w:rFonts w:ascii="仿宋_GB2312" w:eastAsia="仿宋_GB2312"/>
      <w:sz w:val="30"/>
    </w:rPr>
  </w:style>
  <w:style w:type="paragraph" w:styleId="13">
    <w:name w:val="Normal (Web)"/>
    <w:basedOn w:val="1"/>
    <w:uiPriority w:val="0"/>
    <w:pPr>
      <w:overflowPunct/>
      <w:autoSpaceDE/>
      <w:autoSpaceDN/>
      <w:adjustRightInd/>
      <w:spacing w:before="100" w:beforeLines="0" w:beforeAutospacing="1" w:after="100" w:afterLines="0" w:afterAutospacing="1"/>
      <w:jc w:val="left"/>
      <w:textAlignment w:val="auto"/>
    </w:pPr>
    <w:rPr>
      <w:rFonts w:ascii="宋体" w:hAnsi="宋体" w:cs="宋体"/>
      <w:sz w:val="24"/>
      <w:szCs w:val="24"/>
    </w:rPr>
  </w:style>
  <w:style w:type="table" w:styleId="15">
    <w:name w:val="Table Grid"/>
    <w:basedOn w:val="14"/>
    <w:uiPriority w:val="59"/>
    <w:pPr>
      <w:widowControl w:val="0"/>
      <w:jc w:val="both"/>
    </w:pPr>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page number"/>
    <w:uiPriority w:val="0"/>
  </w:style>
  <w:style w:type="character" w:styleId="19">
    <w:name w:val="Hyperlink"/>
    <w:uiPriority w:val="0"/>
    <w:rPr>
      <w:color w:val="0000FF"/>
      <w:u w:val="single"/>
    </w:rPr>
  </w:style>
  <w:style w:type="character" w:customStyle="1" w:styleId="20">
    <w:name w:val="批注框文本 Char"/>
    <w:link w:val="9"/>
    <w:uiPriority w:val="0"/>
    <w:rPr>
      <w:sz w:val="18"/>
      <w:szCs w:val="18"/>
    </w:rPr>
  </w:style>
  <w:style w:type="character" w:customStyle="1" w:styleId="21">
    <w:name w:val="页脚 Char"/>
    <w:link w:val="10"/>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6390</Words>
  <Characters>6528</Characters>
  <Lines>80</Lines>
  <Paragraphs>22</Paragraphs>
  <TotalTime>4</TotalTime>
  <ScaleCrop>false</ScaleCrop>
  <LinksUpToDate>false</LinksUpToDate>
  <CharactersWithSpaces>6528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2026-07-24T09:20:00Z</dcterms:created>
  <dc:creator>内网自动化</dc:creator>
  <cp:lastModifiedBy>Miss.Hamster</cp:lastModifiedBy>
  <cp:lastPrinted>2026-07-24T09:22:00Z</cp:lastPrinted>
  <dcterms:modified xsi:type="dcterms:W3CDTF">2026-07-27T01:42:47Z</dcterms:modified>
  <dc:title>中国科协部门发文</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A6F7A9CBDB8749B4A2F3D44DE92E1743_13</vt:lpwstr>
  </property>
  <property fmtid="{D5CDD505-2E9C-101B-9397-08002B2CF9AE}" pid="4" name="KSOTemplateDocerSaveRecord">
    <vt:lpwstr>eyJoZGlkIjoiODE0OTJjMmYxMjM2ZGY5MmJiZjg3YzkxNmU1MjhlOWUiLCJ1c2VySWQiOiI2Mjk4Nzc0MjAifQ==</vt:lpwstr>
  </property>
</Properties>
</file>