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668C8" w14:textId="77777777" w:rsidR="000F2F70" w:rsidRPr="000F2F70" w:rsidRDefault="000F2F70" w:rsidP="000F2F70">
      <w:pPr>
        <w:widowControl/>
        <w:shd w:val="clear" w:color="auto" w:fill="FFFFFF"/>
        <w:spacing w:after="210" w:line="360" w:lineRule="auto"/>
        <w:jc w:val="left"/>
        <w:outlineLvl w:val="0"/>
        <w:rPr>
          <w:rFonts w:ascii="仿宋" w:eastAsia="仿宋" w:hAnsi="仿宋" w:cs="宋体"/>
          <w:color w:val="222222"/>
          <w:spacing w:val="8"/>
          <w:kern w:val="36"/>
          <w:sz w:val="33"/>
          <w:szCs w:val="33"/>
        </w:rPr>
      </w:pPr>
      <w:proofErr w:type="gramStart"/>
      <w:r w:rsidRPr="000F2F70">
        <w:rPr>
          <w:rFonts w:ascii="仿宋" w:eastAsia="仿宋" w:hAnsi="仿宋" w:cs="宋体" w:hint="eastAsia"/>
          <w:color w:val="222222"/>
          <w:spacing w:val="8"/>
          <w:kern w:val="36"/>
          <w:sz w:val="33"/>
          <w:szCs w:val="33"/>
        </w:rPr>
        <w:t>科转洞察</w:t>
      </w:r>
      <w:proofErr w:type="gramEnd"/>
      <w:r w:rsidRPr="000F2F70">
        <w:rPr>
          <w:rFonts w:ascii="仿宋" w:eastAsia="仿宋" w:hAnsi="仿宋" w:cs="宋体" w:hint="eastAsia"/>
          <w:color w:val="222222"/>
          <w:spacing w:val="8"/>
          <w:kern w:val="36"/>
          <w:sz w:val="33"/>
          <w:szCs w:val="33"/>
        </w:rPr>
        <w:t>|华中科技大学氢能技术创新实力全景图谱发布</w:t>
      </w:r>
    </w:p>
    <w:p w14:paraId="4A9E922E" w14:textId="77777777" w:rsidR="000F2F70" w:rsidRPr="000F2F70" w:rsidRDefault="000F2F70" w:rsidP="000F2F70">
      <w:pPr>
        <w:widowControl/>
        <w:shd w:val="clear" w:color="auto" w:fill="FFFFFF"/>
        <w:spacing w:line="360" w:lineRule="auto"/>
        <w:jc w:val="left"/>
        <w:rPr>
          <w:rFonts w:ascii="仿宋" w:eastAsia="仿宋" w:hAnsi="仿宋" w:cs="宋体" w:hint="eastAsia"/>
          <w:color w:val="222222"/>
          <w:spacing w:val="8"/>
          <w:kern w:val="0"/>
          <w:sz w:val="2"/>
          <w:szCs w:val="2"/>
        </w:rPr>
      </w:pPr>
      <w:r w:rsidRPr="000F2F70">
        <w:rPr>
          <w:rFonts w:ascii="仿宋" w:eastAsia="仿宋" w:hAnsi="仿宋" w:cs="宋体" w:hint="eastAsia"/>
          <w:color w:val="222222"/>
          <w:spacing w:val="8"/>
          <w:kern w:val="0"/>
          <w:sz w:val="23"/>
          <w:szCs w:val="23"/>
        </w:rPr>
        <w:t>华中大技术转移</w:t>
      </w:r>
      <w:r w:rsidRPr="000F2F70">
        <w:rPr>
          <w:rFonts w:ascii="Calibri" w:eastAsia="仿宋" w:hAnsi="Calibri" w:cs="Calibri"/>
          <w:color w:val="222222"/>
          <w:spacing w:val="8"/>
          <w:kern w:val="0"/>
          <w:sz w:val="2"/>
          <w:szCs w:val="2"/>
        </w:rPr>
        <w:t> </w:t>
      </w:r>
      <w:hyperlink r:id="rId4" w:history="1">
        <w:r w:rsidRPr="000F2F70">
          <w:rPr>
            <w:rFonts w:ascii="仿宋" w:eastAsia="仿宋" w:hAnsi="仿宋" w:cs="宋体" w:hint="eastAsia"/>
            <w:color w:val="576B95"/>
            <w:spacing w:val="8"/>
            <w:kern w:val="0"/>
            <w:sz w:val="23"/>
            <w:szCs w:val="23"/>
            <w:u w:val="single"/>
          </w:rPr>
          <w:t>华中大技术转移</w:t>
        </w:r>
      </w:hyperlink>
      <w:r w:rsidRPr="000F2F70">
        <w:rPr>
          <w:rFonts w:ascii="Calibri" w:eastAsia="仿宋" w:hAnsi="Calibri" w:cs="Calibri"/>
          <w:color w:val="222222"/>
          <w:spacing w:val="8"/>
          <w:kern w:val="0"/>
          <w:sz w:val="2"/>
          <w:szCs w:val="2"/>
        </w:rPr>
        <w:t> </w:t>
      </w:r>
      <w:r w:rsidRPr="000F2F70">
        <w:rPr>
          <w:rFonts w:ascii="仿宋" w:eastAsia="仿宋" w:hAnsi="仿宋" w:cs="宋体" w:hint="eastAsia"/>
          <w:color w:val="222222"/>
          <w:spacing w:val="8"/>
          <w:kern w:val="0"/>
          <w:sz w:val="23"/>
          <w:szCs w:val="23"/>
        </w:rPr>
        <w:t>2022-12-01 17:14</w:t>
      </w:r>
      <w:r w:rsidRPr="000F2F70">
        <w:rPr>
          <w:rFonts w:ascii="Calibri" w:eastAsia="仿宋" w:hAnsi="Calibri" w:cs="Calibri"/>
          <w:color w:val="222222"/>
          <w:spacing w:val="8"/>
          <w:kern w:val="0"/>
          <w:sz w:val="2"/>
          <w:szCs w:val="2"/>
        </w:rPr>
        <w:t> </w:t>
      </w:r>
      <w:r w:rsidRPr="000F2F70">
        <w:rPr>
          <w:rFonts w:ascii="仿宋" w:eastAsia="仿宋" w:hAnsi="仿宋" w:cs="宋体" w:hint="eastAsia"/>
          <w:color w:val="222222"/>
          <w:spacing w:val="8"/>
          <w:kern w:val="0"/>
          <w:sz w:val="23"/>
          <w:szCs w:val="23"/>
        </w:rPr>
        <w:t>发表于湖北</w:t>
      </w:r>
    </w:p>
    <w:p w14:paraId="405ABA2A" w14:textId="77777777" w:rsidR="000F2F70" w:rsidRPr="000F2F70" w:rsidRDefault="000F2F70" w:rsidP="000F2F70">
      <w:pPr>
        <w:widowControl/>
        <w:shd w:val="clear" w:color="auto" w:fill="F7F7F7"/>
        <w:spacing w:line="360" w:lineRule="auto"/>
        <w:jc w:val="left"/>
        <w:rPr>
          <w:rFonts w:ascii="仿宋" w:eastAsia="仿宋" w:hAnsi="仿宋" w:cs="宋体" w:hint="eastAsia"/>
          <w:color w:val="222222"/>
          <w:spacing w:val="8"/>
          <w:kern w:val="0"/>
          <w:sz w:val="2"/>
          <w:szCs w:val="2"/>
        </w:rPr>
      </w:pPr>
      <w:r w:rsidRPr="000F2F70">
        <w:rPr>
          <w:rFonts w:ascii="仿宋" w:eastAsia="仿宋" w:hAnsi="仿宋" w:cs="宋体" w:hint="eastAsia"/>
          <w:color w:val="222222"/>
          <w:spacing w:val="8"/>
          <w:kern w:val="0"/>
          <w:sz w:val="23"/>
          <w:szCs w:val="23"/>
        </w:rPr>
        <w:t>收录于合集</w:t>
      </w:r>
      <w:r w:rsidRPr="000F2F70">
        <w:rPr>
          <w:rFonts w:ascii="仿宋" w:eastAsia="仿宋" w:hAnsi="仿宋" w:cs="宋体" w:hint="eastAsia"/>
          <w:color w:val="576B95"/>
          <w:spacing w:val="8"/>
          <w:kern w:val="0"/>
          <w:sz w:val="23"/>
          <w:szCs w:val="23"/>
        </w:rPr>
        <w:t>#</w:t>
      </w:r>
      <w:proofErr w:type="gramStart"/>
      <w:r w:rsidRPr="000F2F70">
        <w:rPr>
          <w:rFonts w:ascii="仿宋" w:eastAsia="仿宋" w:hAnsi="仿宋" w:cs="宋体" w:hint="eastAsia"/>
          <w:color w:val="576B95"/>
          <w:spacing w:val="8"/>
          <w:kern w:val="0"/>
          <w:sz w:val="23"/>
          <w:szCs w:val="23"/>
        </w:rPr>
        <w:t>科转洞察</w:t>
      </w:r>
      <w:proofErr w:type="gramEnd"/>
      <w:r w:rsidRPr="000F2F70">
        <w:rPr>
          <w:rFonts w:ascii="仿宋" w:eastAsia="仿宋" w:hAnsi="仿宋" w:cs="宋体" w:hint="eastAsia"/>
          <w:color w:val="222222"/>
          <w:spacing w:val="8"/>
          <w:kern w:val="0"/>
          <w:sz w:val="23"/>
          <w:szCs w:val="23"/>
        </w:rPr>
        <w:t>1个</w:t>
      </w:r>
    </w:p>
    <w:p w14:paraId="73A4B3B9"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proofErr w:type="gramStart"/>
      <w:r w:rsidRPr="000F2F70">
        <w:rPr>
          <w:rFonts w:ascii="仿宋" w:eastAsia="仿宋" w:hAnsi="仿宋" w:cs="宋体" w:hint="eastAsia"/>
          <w:b/>
          <w:bCs/>
          <w:color w:val="222222"/>
          <w:spacing w:val="8"/>
          <w:kern w:val="0"/>
          <w:sz w:val="26"/>
          <w:szCs w:val="26"/>
        </w:rPr>
        <w:t>科转洞察</w:t>
      </w:r>
      <w:proofErr w:type="gramEnd"/>
    </w:p>
    <w:p w14:paraId="108FB194" w14:textId="70F7168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drawing>
          <wp:inline distT="0" distB="0" distL="0" distR="0" wp14:anchorId="7F7689B8" wp14:editId="10A3A4D4">
            <wp:extent cx="5274310" cy="2953385"/>
            <wp:effectExtent l="0" t="0" r="254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53385"/>
                    </a:xfrm>
                    <a:prstGeom prst="rect">
                      <a:avLst/>
                    </a:prstGeom>
                    <a:noFill/>
                    <a:ln>
                      <a:noFill/>
                    </a:ln>
                  </pic:spPr>
                </pic:pic>
              </a:graphicData>
            </a:graphic>
          </wp:inline>
        </w:drawing>
      </w:r>
    </w:p>
    <w:p w14:paraId="739C277F"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p>
    <w:p w14:paraId="48A41DD6"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华中科技大学</w:t>
      </w:r>
    </w:p>
    <w:p w14:paraId="5B196764"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氢能技术创新实力全景图谱发布</w:t>
      </w:r>
    </w:p>
    <w:p w14:paraId="78A0608F"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p>
    <w:p w14:paraId="3BA54A1B"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343679"/>
          <w:spacing w:val="8"/>
          <w:kern w:val="0"/>
          <w:sz w:val="27"/>
          <w:szCs w:val="27"/>
        </w:rPr>
        <w:t>氢能</w:t>
      </w:r>
    </w:p>
    <w:p w14:paraId="4F18C6E6"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Cs w:val="21"/>
        </w:rPr>
        <w:br/>
      </w:r>
    </w:p>
    <w:p w14:paraId="04933E46"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3E3E3E"/>
          <w:spacing w:val="8"/>
          <w:kern w:val="0"/>
          <w:sz w:val="23"/>
          <w:szCs w:val="23"/>
        </w:rPr>
        <w:t>是氢气和氧气发生化学反应，氢氧原子在生成水分子过程中释放的化学能。氢能是一种来源丰富、绿色低碳、应用广泛的二次能源，正逐步成为全球能源转型发展的重要载体之一。氢能产业链较长，包括生产、储存、运输和利用等诸多环节。</w:t>
      </w:r>
    </w:p>
    <w:p w14:paraId="1FC8B94E" w14:textId="0D6E4A72"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018E520E" wp14:editId="000CFDB9">
            <wp:extent cx="5274310" cy="2957830"/>
            <wp:effectExtent l="0" t="0" r="2540" b="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57830"/>
                    </a:xfrm>
                    <a:prstGeom prst="rect">
                      <a:avLst/>
                    </a:prstGeom>
                    <a:noFill/>
                    <a:ln>
                      <a:noFill/>
                    </a:ln>
                  </pic:spPr>
                </pic:pic>
              </a:graphicData>
            </a:graphic>
          </wp:inline>
        </w:drawing>
      </w:r>
    </w:p>
    <w:p w14:paraId="7279AFD0"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华中科技大学氢能领域</w:t>
      </w:r>
    </w:p>
    <w:p w14:paraId="415AAD88"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科研创新概况</w:t>
      </w:r>
    </w:p>
    <w:p w14:paraId="4EC014B2"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01</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氢能技术政策概览</w:t>
      </w:r>
    </w:p>
    <w:p w14:paraId="39E6C5C9"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国家政策</w:t>
      </w:r>
    </w:p>
    <w:p w14:paraId="653E70AE"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343679"/>
          <w:spacing w:val="8"/>
          <w:kern w:val="0"/>
          <w:sz w:val="23"/>
          <w:szCs w:val="23"/>
        </w:rPr>
        <w:t>国家发展改革委、国家能源局《氢能产业发展中长期规划（2021-2035年）》</w:t>
      </w:r>
    </w:p>
    <w:p w14:paraId="2775BA0D"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t>加快推进质子交换膜燃料电池技术创新，开发关键材料，支持新型燃料电池等技术发展。着力推进核心零部件以及关键装备研发制造。加快提高可再生能源制氢转化效率，突破氢能基础设施环节关键核心技术。</w:t>
      </w:r>
    </w:p>
    <w:p w14:paraId="6A6F3B58"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t>持续推进绿色低碳氢能制取、储存、运输和应用等各环节关键核心技术研发。持续推动氢能先进技术、关键设备、重大产品示范应用和产业化发展，构建氢能产业高质量发展技术体系。</w:t>
      </w:r>
    </w:p>
    <w:p w14:paraId="484488C4"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各地政策</w:t>
      </w:r>
    </w:p>
    <w:p w14:paraId="083FB354"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343679"/>
          <w:spacing w:val="8"/>
          <w:kern w:val="0"/>
          <w:sz w:val="23"/>
          <w:szCs w:val="23"/>
        </w:rPr>
        <w:t>全国多地省市政府出台氢能产业专项“十四五”规划策略</w:t>
      </w:r>
    </w:p>
    <w:p w14:paraId="0ECF551E"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t>北京、上海、广东、福建、湖南、山东、浙江、宁波、江苏、重庆、云南等政府相继出台了氢能产业专项“十四五”规划策略，提出大力推动氢能产业技术发展。</w:t>
      </w:r>
    </w:p>
    <w:p w14:paraId="43010AD5"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湖北政策</w:t>
      </w:r>
    </w:p>
    <w:p w14:paraId="1A096A4B"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343679"/>
          <w:spacing w:val="8"/>
          <w:kern w:val="0"/>
          <w:sz w:val="23"/>
          <w:szCs w:val="23"/>
        </w:rPr>
        <w:t>《湖北省能源发展“十四五”规划的通知》</w:t>
      </w:r>
    </w:p>
    <w:p w14:paraId="763F7BB6"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lastRenderedPageBreak/>
        <w:t>聚焦制氢、储运、加注、燃料电池等氢能产业</w:t>
      </w:r>
      <w:proofErr w:type="gramStart"/>
      <w:r w:rsidRPr="000F2F70">
        <w:rPr>
          <w:rFonts w:ascii="仿宋" w:eastAsia="仿宋" w:hAnsi="仿宋" w:cs="宋体" w:hint="eastAsia"/>
          <w:color w:val="222222"/>
          <w:spacing w:val="8"/>
          <w:kern w:val="0"/>
          <w:sz w:val="23"/>
          <w:szCs w:val="23"/>
        </w:rPr>
        <w:t>链核心</w:t>
      </w:r>
      <w:proofErr w:type="gramEnd"/>
      <w:r w:rsidRPr="000F2F70">
        <w:rPr>
          <w:rFonts w:ascii="仿宋" w:eastAsia="仿宋" w:hAnsi="仿宋" w:cs="宋体" w:hint="eastAsia"/>
          <w:color w:val="222222"/>
          <w:spacing w:val="8"/>
          <w:kern w:val="0"/>
          <w:sz w:val="23"/>
          <w:szCs w:val="23"/>
        </w:rPr>
        <w:t>环节，推动基础前沿和共性关键技术和装备研发。鼓励质子交换膜燃料电池、固体氧化物燃料电池发电及分布式能源系统技术攻关，加快氢能在交通运输、工业、储能调峰、分布式供能等领域应用，规划加氢站等配套氢能供应基础设施建设。</w:t>
      </w:r>
    </w:p>
    <w:p w14:paraId="7C79E55B"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02</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华中大氢能技术生命力分析</w:t>
      </w:r>
    </w:p>
    <w:p w14:paraId="6B60D828" w14:textId="6DCD509C"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drawing>
          <wp:inline distT="0" distB="0" distL="0" distR="0" wp14:anchorId="4BEEA074" wp14:editId="78C9B90E">
            <wp:extent cx="5274310" cy="2965450"/>
            <wp:effectExtent l="0" t="0" r="2540" b="635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p>
    <w:p w14:paraId="7D51595C"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t>以华中大氢能专利申请趋势进行技术生命力分析，我校在该技术领域的研究具有持续性，科技成果产出活跃。</w:t>
      </w:r>
    </w:p>
    <w:p w14:paraId="34DE0EBE"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03</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华中大氢能技术架构布局分析</w:t>
      </w:r>
    </w:p>
    <w:p w14:paraId="45E84D4A" w14:textId="3CA1DDDD"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1C8E52EB" wp14:editId="2FD5EAEA">
            <wp:extent cx="5274310" cy="5297805"/>
            <wp:effectExtent l="0" t="0" r="254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297805"/>
                    </a:xfrm>
                    <a:prstGeom prst="rect">
                      <a:avLst/>
                    </a:prstGeom>
                    <a:noFill/>
                    <a:ln>
                      <a:noFill/>
                    </a:ln>
                  </pic:spPr>
                </pic:pic>
              </a:graphicData>
            </a:graphic>
          </wp:inline>
        </w:drawing>
      </w:r>
    </w:p>
    <w:p w14:paraId="7BE9E78C"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主要技术布局</w:t>
      </w:r>
    </w:p>
    <w:p w14:paraId="5764D3A1" w14:textId="77777777" w:rsidR="000F2F70" w:rsidRPr="000F2F70" w:rsidRDefault="000F2F70" w:rsidP="000F2F70">
      <w:pPr>
        <w:widowControl/>
        <w:shd w:val="clear" w:color="auto" w:fill="FFFFFF"/>
        <w:spacing w:line="360" w:lineRule="auto"/>
        <w:jc w:val="center"/>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7"/>
          <w:szCs w:val="27"/>
        </w:rPr>
        <w:t>五大</w:t>
      </w:r>
      <w:r w:rsidRPr="000F2F70">
        <w:rPr>
          <w:rFonts w:ascii="仿宋" w:eastAsia="仿宋" w:hAnsi="仿宋" w:cs="宋体" w:hint="eastAsia"/>
          <w:b/>
          <w:bCs/>
          <w:color w:val="222222"/>
          <w:spacing w:val="8"/>
          <w:kern w:val="0"/>
          <w:sz w:val="26"/>
          <w:szCs w:val="26"/>
        </w:rPr>
        <w:t>研究方向</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b/>
          <w:bCs/>
          <w:color w:val="222222"/>
          <w:spacing w:val="8"/>
          <w:kern w:val="0"/>
          <w:sz w:val="26"/>
          <w:szCs w:val="26"/>
        </w:rPr>
        <w:t xml:space="preserve"> </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b/>
          <w:bCs/>
          <w:color w:val="222222"/>
          <w:spacing w:val="8"/>
          <w:kern w:val="0"/>
          <w:sz w:val="27"/>
          <w:szCs w:val="27"/>
        </w:rPr>
        <w:t>29+</w:t>
      </w:r>
      <w:r w:rsidRPr="000F2F70">
        <w:rPr>
          <w:rFonts w:ascii="仿宋" w:eastAsia="仿宋" w:hAnsi="仿宋" w:cs="宋体" w:hint="eastAsia"/>
          <w:b/>
          <w:bCs/>
          <w:color w:val="222222"/>
          <w:spacing w:val="8"/>
          <w:kern w:val="0"/>
          <w:sz w:val="26"/>
          <w:szCs w:val="26"/>
        </w:rPr>
        <w:t>技术分支</w:t>
      </w:r>
    </w:p>
    <w:p w14:paraId="5217A55F" w14:textId="77777777" w:rsidR="000F2F70" w:rsidRPr="000F2F70" w:rsidRDefault="000F2F70" w:rsidP="000F2F70">
      <w:pPr>
        <w:widowControl/>
        <w:shd w:val="clear" w:color="auto" w:fill="FFFFFF"/>
        <w:spacing w:line="360" w:lineRule="auto"/>
        <w:jc w:val="center"/>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成果积淀</w:t>
      </w:r>
      <w:r w:rsidRPr="000F2F70">
        <w:rPr>
          <w:rFonts w:ascii="仿宋" w:eastAsia="仿宋" w:hAnsi="仿宋" w:cs="宋体" w:hint="eastAsia"/>
          <w:b/>
          <w:bCs/>
          <w:color w:val="222222"/>
          <w:spacing w:val="8"/>
          <w:kern w:val="0"/>
          <w:sz w:val="27"/>
          <w:szCs w:val="27"/>
        </w:rPr>
        <w:t>150+</w:t>
      </w:r>
    </w:p>
    <w:p w14:paraId="70301E34"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制氢</w:t>
      </w:r>
    </w:p>
    <w:p w14:paraId="010391ED"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包括电解水制氢、化石燃料制氢、可再生能源制氢、工业副产氢，其中</w:t>
      </w:r>
      <w:r w:rsidRPr="000F2F70">
        <w:rPr>
          <w:rFonts w:ascii="仿宋" w:eastAsia="仿宋" w:hAnsi="仿宋" w:cs="宋体" w:hint="eastAsia"/>
          <w:b/>
          <w:bCs/>
          <w:color w:val="FF410D"/>
          <w:spacing w:val="8"/>
          <w:kern w:val="0"/>
          <w:sz w:val="26"/>
          <w:szCs w:val="26"/>
        </w:rPr>
        <w:t>电解水及光解水制氢</w:t>
      </w:r>
      <w:r w:rsidRPr="000F2F70">
        <w:rPr>
          <w:rFonts w:ascii="仿宋" w:eastAsia="仿宋" w:hAnsi="仿宋" w:cs="宋体" w:hint="eastAsia"/>
          <w:color w:val="222222"/>
          <w:spacing w:val="8"/>
          <w:kern w:val="0"/>
          <w:sz w:val="26"/>
          <w:szCs w:val="26"/>
        </w:rPr>
        <w:t>为重点布局方向，</w:t>
      </w:r>
      <w:r w:rsidRPr="000F2F70">
        <w:rPr>
          <w:rFonts w:ascii="仿宋" w:eastAsia="仿宋" w:hAnsi="仿宋" w:cs="宋体" w:hint="eastAsia"/>
          <w:b/>
          <w:bCs/>
          <w:color w:val="FF410D"/>
          <w:spacing w:val="8"/>
          <w:kern w:val="0"/>
          <w:sz w:val="26"/>
          <w:szCs w:val="26"/>
        </w:rPr>
        <w:t>催化剂</w:t>
      </w:r>
      <w:r w:rsidRPr="000F2F70">
        <w:rPr>
          <w:rFonts w:ascii="仿宋" w:eastAsia="仿宋" w:hAnsi="仿宋" w:cs="宋体" w:hint="eastAsia"/>
          <w:color w:val="222222"/>
          <w:spacing w:val="8"/>
          <w:kern w:val="0"/>
          <w:sz w:val="26"/>
          <w:szCs w:val="26"/>
        </w:rPr>
        <w:t>为研究重点，开发出的催化剂具有高催化活性、适应性强及制备成本低等优势，极具发展潜力。</w:t>
      </w:r>
    </w:p>
    <w:p w14:paraId="0101ED45"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储氢</w:t>
      </w:r>
    </w:p>
    <w:p w14:paraId="41F81E13"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lastRenderedPageBreak/>
        <w:t>重点布局方向为</w:t>
      </w:r>
      <w:r w:rsidRPr="000F2F70">
        <w:rPr>
          <w:rFonts w:ascii="仿宋" w:eastAsia="仿宋" w:hAnsi="仿宋" w:cs="宋体" w:hint="eastAsia"/>
          <w:b/>
          <w:bCs/>
          <w:color w:val="FF410D"/>
          <w:spacing w:val="8"/>
          <w:kern w:val="0"/>
          <w:sz w:val="26"/>
          <w:szCs w:val="26"/>
        </w:rPr>
        <w:t>固态储氢</w:t>
      </w:r>
      <w:r w:rsidRPr="000F2F70">
        <w:rPr>
          <w:rFonts w:ascii="仿宋" w:eastAsia="仿宋" w:hAnsi="仿宋" w:cs="宋体" w:hint="eastAsia"/>
          <w:color w:val="222222"/>
          <w:spacing w:val="8"/>
          <w:kern w:val="0"/>
          <w:sz w:val="26"/>
          <w:szCs w:val="26"/>
        </w:rPr>
        <w:t>方式，其中以</w:t>
      </w:r>
      <w:r w:rsidRPr="000F2F70">
        <w:rPr>
          <w:rFonts w:ascii="仿宋" w:eastAsia="仿宋" w:hAnsi="仿宋" w:cs="宋体" w:hint="eastAsia"/>
          <w:b/>
          <w:bCs/>
          <w:color w:val="FF410D"/>
          <w:spacing w:val="8"/>
          <w:kern w:val="0"/>
          <w:sz w:val="26"/>
          <w:szCs w:val="26"/>
        </w:rPr>
        <w:t>多孔聚合物储氢材料</w:t>
      </w:r>
      <w:r w:rsidRPr="000F2F70">
        <w:rPr>
          <w:rFonts w:ascii="仿宋" w:eastAsia="仿宋" w:hAnsi="仿宋" w:cs="宋体" w:hint="eastAsia"/>
          <w:color w:val="222222"/>
          <w:spacing w:val="8"/>
          <w:kern w:val="0"/>
          <w:sz w:val="26"/>
          <w:szCs w:val="26"/>
        </w:rPr>
        <w:t>为研究重点，优势明显。</w:t>
      </w:r>
    </w:p>
    <w:p w14:paraId="66A6921B"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加氢</w:t>
      </w:r>
    </w:p>
    <w:p w14:paraId="1F40072D"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重点研究方向为</w:t>
      </w:r>
      <w:r w:rsidRPr="000F2F70">
        <w:rPr>
          <w:rFonts w:ascii="仿宋" w:eastAsia="仿宋" w:hAnsi="仿宋" w:cs="宋体" w:hint="eastAsia"/>
          <w:b/>
          <w:bCs/>
          <w:color w:val="FF410D"/>
          <w:spacing w:val="8"/>
          <w:kern w:val="0"/>
          <w:sz w:val="26"/>
          <w:szCs w:val="26"/>
        </w:rPr>
        <w:t>加氢系统</w:t>
      </w:r>
      <w:r w:rsidRPr="000F2F70">
        <w:rPr>
          <w:rFonts w:ascii="仿宋" w:eastAsia="仿宋" w:hAnsi="仿宋" w:cs="宋体" w:hint="eastAsia"/>
          <w:color w:val="222222"/>
          <w:spacing w:val="8"/>
          <w:kern w:val="0"/>
          <w:sz w:val="26"/>
          <w:szCs w:val="26"/>
        </w:rPr>
        <w:t>，以适配加氢站建设需求。</w:t>
      </w:r>
    </w:p>
    <w:p w14:paraId="76601C5D"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氢燃料电池系统</w:t>
      </w:r>
    </w:p>
    <w:p w14:paraId="602D25E0"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围绕氢</w:t>
      </w:r>
      <w:proofErr w:type="gramStart"/>
      <w:r w:rsidRPr="000F2F70">
        <w:rPr>
          <w:rFonts w:ascii="仿宋" w:eastAsia="仿宋" w:hAnsi="仿宋" w:cs="宋体" w:hint="eastAsia"/>
          <w:color w:val="222222"/>
          <w:spacing w:val="8"/>
          <w:kern w:val="0"/>
          <w:sz w:val="26"/>
          <w:szCs w:val="26"/>
        </w:rPr>
        <w:t>燃料电池堆及系统</w:t>
      </w:r>
      <w:proofErr w:type="gramEnd"/>
      <w:r w:rsidRPr="000F2F70">
        <w:rPr>
          <w:rFonts w:ascii="仿宋" w:eastAsia="仿宋" w:hAnsi="仿宋" w:cs="宋体" w:hint="eastAsia"/>
          <w:color w:val="222222"/>
          <w:spacing w:val="8"/>
          <w:kern w:val="0"/>
          <w:sz w:val="26"/>
          <w:szCs w:val="26"/>
        </w:rPr>
        <w:t>辅件进行研究，其中氢燃料电池堆为研究重点，主要以</w:t>
      </w:r>
      <w:r w:rsidRPr="000F2F70">
        <w:rPr>
          <w:rFonts w:ascii="仿宋" w:eastAsia="仿宋" w:hAnsi="仿宋" w:cs="宋体" w:hint="eastAsia"/>
          <w:b/>
          <w:bCs/>
          <w:color w:val="FF410D"/>
          <w:spacing w:val="8"/>
          <w:kern w:val="0"/>
          <w:sz w:val="26"/>
          <w:szCs w:val="26"/>
        </w:rPr>
        <w:t>双极板、阴极催化剂及密封件</w:t>
      </w:r>
      <w:r w:rsidRPr="000F2F70">
        <w:rPr>
          <w:rFonts w:ascii="仿宋" w:eastAsia="仿宋" w:hAnsi="仿宋" w:cs="宋体" w:hint="eastAsia"/>
          <w:color w:val="222222"/>
          <w:spacing w:val="8"/>
          <w:kern w:val="0"/>
          <w:sz w:val="26"/>
          <w:szCs w:val="26"/>
        </w:rPr>
        <w:t>等为主要研究方向，具有强劲的技术优势。</w:t>
      </w:r>
    </w:p>
    <w:p w14:paraId="3F12F996"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氢能应用</w:t>
      </w:r>
    </w:p>
    <w:p w14:paraId="55FDC8F5"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FF410D"/>
          <w:spacing w:val="8"/>
          <w:kern w:val="0"/>
          <w:sz w:val="26"/>
          <w:szCs w:val="26"/>
        </w:rPr>
        <w:t>固定式发电、交通领域、便携式发电</w:t>
      </w:r>
      <w:r w:rsidRPr="000F2F70">
        <w:rPr>
          <w:rFonts w:ascii="仿宋" w:eastAsia="仿宋" w:hAnsi="仿宋" w:cs="宋体" w:hint="eastAsia"/>
          <w:color w:val="222222"/>
          <w:spacing w:val="8"/>
          <w:kern w:val="0"/>
          <w:sz w:val="26"/>
          <w:szCs w:val="26"/>
        </w:rPr>
        <w:t>等应用均有涉及。</w:t>
      </w:r>
    </w:p>
    <w:p w14:paraId="04133434"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04</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华中大氢能技术影响力分析</w:t>
      </w:r>
    </w:p>
    <w:p w14:paraId="6FC65028" w14:textId="3DD932FD"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1B0FB8F8" wp14:editId="5A3EFF69">
            <wp:extent cx="5274310" cy="2976880"/>
            <wp:effectExtent l="0" t="0" r="254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76880"/>
                    </a:xfrm>
                    <a:prstGeom prst="rect">
                      <a:avLst/>
                    </a:prstGeom>
                    <a:noFill/>
                    <a:ln>
                      <a:noFill/>
                    </a:ln>
                  </pic:spPr>
                </pic:pic>
              </a:graphicData>
            </a:graphic>
          </wp:inline>
        </w:drawing>
      </w:r>
      <w:r w:rsidRPr="000F2F70">
        <w:rPr>
          <w:rFonts w:ascii="仿宋" w:eastAsia="仿宋" w:hAnsi="仿宋" w:cs="宋体"/>
          <w:noProof/>
          <w:color w:val="222222"/>
          <w:spacing w:val="8"/>
          <w:kern w:val="0"/>
          <w:sz w:val="26"/>
          <w:szCs w:val="26"/>
        </w:rPr>
        <w:drawing>
          <wp:inline distT="0" distB="0" distL="0" distR="0" wp14:anchorId="4537D364" wp14:editId="052D413B">
            <wp:extent cx="5274310" cy="2847975"/>
            <wp:effectExtent l="0" t="0" r="2540" b="952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847975"/>
                    </a:xfrm>
                    <a:prstGeom prst="rect">
                      <a:avLst/>
                    </a:prstGeom>
                    <a:noFill/>
                    <a:ln>
                      <a:noFill/>
                    </a:ln>
                  </pic:spPr>
                </pic:pic>
              </a:graphicData>
            </a:graphic>
          </wp:inline>
        </w:drawing>
      </w:r>
    </w:p>
    <w:p w14:paraId="25FE0140"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以被用引次数分析技术影响力，我校近60%专利被引用，被法国、日本及我国等众多企业、高校和科研院所引用，如UNIVERSITE DE LIMOGES、丰田自动车株式会、社武汉华科福赛新能源有限责任公司等，技术受关注程度高，技术影响力大。</w:t>
      </w:r>
    </w:p>
    <w:p w14:paraId="1C82AB53"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TOP10多篇专利被用引次数超过15次，对本领域技术影响力较高；其中，CN103985884A、CN102093539A及CN101562255A受关注程度最高，被引用的次数高达30次以上，或为高价值专利。</w:t>
      </w:r>
    </w:p>
    <w:p w14:paraId="5BF35608"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lastRenderedPageBreak/>
        <w:t>05</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华中大氢能技术性能指标分析</w:t>
      </w:r>
    </w:p>
    <w:p w14:paraId="21386AAB" w14:textId="1D383A5A"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drawing>
          <wp:inline distT="0" distB="0" distL="0" distR="0" wp14:anchorId="09B5803E" wp14:editId="75677674">
            <wp:extent cx="5274310" cy="4377690"/>
            <wp:effectExtent l="0" t="0" r="2540" b="381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377690"/>
                    </a:xfrm>
                    <a:prstGeom prst="rect">
                      <a:avLst/>
                    </a:prstGeom>
                    <a:noFill/>
                    <a:ln>
                      <a:noFill/>
                    </a:ln>
                  </pic:spPr>
                </pic:pic>
              </a:graphicData>
            </a:graphic>
          </wp:inline>
        </w:drawing>
      </w:r>
    </w:p>
    <w:p w14:paraId="0C60DBF8"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催化剂在产业链制氢环节起着重要的作用，新型催化剂的开发以及结构优化是制氢技术的主要研究方向，在提高催化活性、稳定性方面的研究表现尤为突出，提高催化活性占比为33.91%；催化剂稳定性，占比为16.52%。</w:t>
      </w:r>
    </w:p>
    <w:p w14:paraId="7AE37542" w14:textId="25B9AAA0"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130586FE" wp14:editId="475BBEF5">
            <wp:extent cx="5242560" cy="435102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4351020"/>
                    </a:xfrm>
                    <a:prstGeom prst="rect">
                      <a:avLst/>
                    </a:prstGeom>
                    <a:noFill/>
                    <a:ln>
                      <a:noFill/>
                    </a:ln>
                  </pic:spPr>
                </pic:pic>
              </a:graphicData>
            </a:graphic>
          </wp:inline>
        </w:drawing>
      </w:r>
    </w:p>
    <w:p w14:paraId="03165FB7"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6"/>
          <w:szCs w:val="26"/>
        </w:rPr>
        <w:t>氢燃料电池堆是氢燃料电池系统主要研究方向，电催化剂是氢燃料电池堆的研究重点。提高电催化的稳定性表现最为突出，占比为20.90%，其次提高催化剂活性，占比为18.66%。</w:t>
      </w:r>
    </w:p>
    <w:p w14:paraId="0C6290FA"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06</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华中大氢能技术重点团队</w:t>
      </w:r>
    </w:p>
    <w:p w14:paraId="3C6081B8" w14:textId="331AC756"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56188827" wp14:editId="3B93E090">
            <wp:extent cx="5274310" cy="4742815"/>
            <wp:effectExtent l="0" t="0" r="2540" b="635"/>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742815"/>
                    </a:xfrm>
                    <a:prstGeom prst="rect">
                      <a:avLst/>
                    </a:prstGeom>
                    <a:noFill/>
                    <a:ln>
                      <a:noFill/>
                    </a:ln>
                  </pic:spPr>
                </pic:pic>
              </a:graphicData>
            </a:graphic>
          </wp:inline>
        </w:drawing>
      </w:r>
      <w:r w:rsidRPr="000F2F70">
        <w:rPr>
          <w:rFonts w:ascii="仿宋" w:eastAsia="仿宋" w:hAnsi="仿宋" w:cs="宋体"/>
          <w:noProof/>
          <w:color w:val="222222"/>
          <w:spacing w:val="8"/>
          <w:kern w:val="0"/>
          <w:sz w:val="26"/>
          <w:szCs w:val="26"/>
        </w:rPr>
        <w:lastRenderedPageBreak/>
        <w:drawing>
          <wp:inline distT="0" distB="0" distL="0" distR="0" wp14:anchorId="062C1DC2" wp14:editId="3DE0E52C">
            <wp:extent cx="5274310" cy="4649470"/>
            <wp:effectExtent l="0" t="0" r="254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649470"/>
                    </a:xfrm>
                    <a:prstGeom prst="rect">
                      <a:avLst/>
                    </a:prstGeom>
                    <a:noFill/>
                    <a:ln>
                      <a:noFill/>
                    </a:ln>
                  </pic:spPr>
                </pic:pic>
              </a:graphicData>
            </a:graphic>
          </wp:inline>
        </w:drawing>
      </w:r>
    </w:p>
    <w:p w14:paraId="5D5D3178"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07</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华中大氢能成果生态链全景图</w:t>
      </w:r>
    </w:p>
    <w:p w14:paraId="5B3FBE01" w14:textId="0A5E5C1D"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drawing>
          <wp:inline distT="0" distB="0" distL="0" distR="0" wp14:anchorId="657E49EE" wp14:editId="57B9B4EA">
            <wp:extent cx="5274310" cy="3286125"/>
            <wp:effectExtent l="0" t="0" r="2540"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286125"/>
                    </a:xfrm>
                    <a:prstGeom prst="rect">
                      <a:avLst/>
                    </a:prstGeom>
                    <a:noFill/>
                    <a:ln>
                      <a:noFill/>
                    </a:ln>
                  </pic:spPr>
                </pic:pic>
              </a:graphicData>
            </a:graphic>
          </wp:inline>
        </w:drawing>
      </w:r>
    </w:p>
    <w:p w14:paraId="37691E68"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lastRenderedPageBreak/>
        <w:t>华中</w:t>
      </w:r>
      <w:proofErr w:type="gramStart"/>
      <w:r w:rsidRPr="000F2F70">
        <w:rPr>
          <w:rFonts w:ascii="仿宋" w:eastAsia="仿宋" w:hAnsi="仿宋" w:cs="宋体" w:hint="eastAsia"/>
          <w:color w:val="222222"/>
          <w:spacing w:val="8"/>
          <w:kern w:val="0"/>
          <w:sz w:val="23"/>
          <w:szCs w:val="23"/>
        </w:rPr>
        <w:t>大拥有</w:t>
      </w:r>
      <w:proofErr w:type="gramEnd"/>
      <w:r w:rsidRPr="000F2F70">
        <w:rPr>
          <w:rFonts w:ascii="仿宋" w:eastAsia="仿宋" w:hAnsi="仿宋" w:cs="宋体" w:hint="eastAsia"/>
          <w:color w:val="222222"/>
          <w:spacing w:val="8"/>
          <w:kern w:val="0"/>
          <w:sz w:val="23"/>
          <w:szCs w:val="23"/>
        </w:rPr>
        <w:t>优质的“人才-技术-成果”资源，形成氢能</w:t>
      </w:r>
      <w:r w:rsidRPr="000F2F70">
        <w:rPr>
          <w:rFonts w:ascii="仿宋" w:eastAsia="仿宋" w:hAnsi="仿宋" w:cs="宋体" w:hint="eastAsia"/>
          <w:b/>
          <w:bCs/>
          <w:color w:val="FF410D"/>
          <w:spacing w:val="8"/>
          <w:kern w:val="0"/>
          <w:sz w:val="23"/>
          <w:szCs w:val="23"/>
        </w:rPr>
        <w:t>科技创新链、产业升级链、人才</w:t>
      </w:r>
      <w:proofErr w:type="gramStart"/>
      <w:r w:rsidRPr="000F2F70">
        <w:rPr>
          <w:rFonts w:ascii="仿宋" w:eastAsia="仿宋" w:hAnsi="仿宋" w:cs="宋体" w:hint="eastAsia"/>
          <w:b/>
          <w:bCs/>
          <w:color w:val="FF410D"/>
          <w:spacing w:val="8"/>
          <w:kern w:val="0"/>
          <w:sz w:val="23"/>
          <w:szCs w:val="23"/>
        </w:rPr>
        <w:t>汇聚链</w:t>
      </w:r>
      <w:r w:rsidRPr="000F2F70">
        <w:rPr>
          <w:rFonts w:ascii="仿宋" w:eastAsia="仿宋" w:hAnsi="仿宋" w:cs="宋体" w:hint="eastAsia"/>
          <w:color w:val="222222"/>
          <w:spacing w:val="8"/>
          <w:kern w:val="0"/>
          <w:sz w:val="23"/>
          <w:szCs w:val="23"/>
        </w:rPr>
        <w:t>于一体</w:t>
      </w:r>
      <w:proofErr w:type="gramEnd"/>
      <w:r w:rsidRPr="000F2F70">
        <w:rPr>
          <w:rFonts w:ascii="仿宋" w:eastAsia="仿宋" w:hAnsi="仿宋" w:cs="宋体" w:hint="eastAsia"/>
          <w:color w:val="222222"/>
          <w:spacing w:val="8"/>
          <w:kern w:val="0"/>
          <w:sz w:val="23"/>
          <w:szCs w:val="23"/>
        </w:rPr>
        <w:t>的科技成果转化生态链。</w:t>
      </w:r>
    </w:p>
    <w:p w14:paraId="56C040CA"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华中科技大学氢能领域</w:t>
      </w:r>
    </w:p>
    <w:p w14:paraId="28826A63"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精准转化分析</w:t>
      </w:r>
    </w:p>
    <w:p w14:paraId="2E382C1C"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01</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6"/>
          <w:szCs w:val="26"/>
        </w:rPr>
        <w:t>华中大氢能技术产学研融合分析</w:t>
      </w:r>
    </w:p>
    <w:p w14:paraId="3C010756" w14:textId="03215134"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drawing>
          <wp:inline distT="0" distB="0" distL="0" distR="0" wp14:anchorId="38E720FA" wp14:editId="00F2F157">
            <wp:extent cx="5274310" cy="2988945"/>
            <wp:effectExtent l="0" t="0" r="2540" b="190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88945"/>
                    </a:xfrm>
                    <a:prstGeom prst="rect">
                      <a:avLst/>
                    </a:prstGeom>
                    <a:noFill/>
                    <a:ln>
                      <a:noFill/>
                    </a:ln>
                  </pic:spPr>
                </pic:pic>
              </a:graphicData>
            </a:graphic>
          </wp:inline>
        </w:drawing>
      </w:r>
    </w:p>
    <w:p w14:paraId="0E834DEE"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仿宋" w:eastAsia="仿宋" w:hAnsi="仿宋" w:cs="宋体" w:hint="eastAsia"/>
          <w:color w:val="222222"/>
          <w:spacing w:val="8"/>
          <w:kern w:val="0"/>
          <w:sz w:val="23"/>
          <w:szCs w:val="23"/>
        </w:rPr>
        <w:t>在氢能领域我校申请的发明专利</w:t>
      </w:r>
      <w:proofErr w:type="gramStart"/>
      <w:r w:rsidRPr="000F2F70">
        <w:rPr>
          <w:rFonts w:ascii="仿宋" w:eastAsia="仿宋" w:hAnsi="仿宋" w:cs="宋体" w:hint="eastAsia"/>
          <w:color w:val="222222"/>
          <w:spacing w:val="8"/>
          <w:kern w:val="0"/>
          <w:sz w:val="23"/>
          <w:szCs w:val="23"/>
        </w:rPr>
        <w:t>占历史</w:t>
      </w:r>
      <w:proofErr w:type="gramEnd"/>
      <w:r w:rsidRPr="000F2F70">
        <w:rPr>
          <w:rFonts w:ascii="仿宋" w:eastAsia="仿宋" w:hAnsi="仿宋" w:cs="宋体" w:hint="eastAsia"/>
          <w:color w:val="222222"/>
          <w:spacing w:val="8"/>
          <w:kern w:val="0"/>
          <w:sz w:val="23"/>
          <w:szCs w:val="23"/>
        </w:rPr>
        <w:t>申请总量的16%，转移转化的发明专利</w:t>
      </w:r>
      <w:proofErr w:type="gramStart"/>
      <w:r w:rsidRPr="000F2F70">
        <w:rPr>
          <w:rFonts w:ascii="仿宋" w:eastAsia="仿宋" w:hAnsi="仿宋" w:cs="宋体" w:hint="eastAsia"/>
          <w:color w:val="222222"/>
          <w:spacing w:val="8"/>
          <w:kern w:val="0"/>
          <w:sz w:val="23"/>
          <w:szCs w:val="23"/>
        </w:rPr>
        <w:t>占历史</w:t>
      </w:r>
      <w:proofErr w:type="gramEnd"/>
      <w:r w:rsidRPr="000F2F70">
        <w:rPr>
          <w:rFonts w:ascii="仿宋" w:eastAsia="仿宋" w:hAnsi="仿宋" w:cs="宋体" w:hint="eastAsia"/>
          <w:color w:val="222222"/>
          <w:spacing w:val="8"/>
          <w:kern w:val="0"/>
          <w:sz w:val="23"/>
          <w:szCs w:val="23"/>
        </w:rPr>
        <w:t>申请总量的8%，这意味着我校在该领域的产学研融合发展前景与技术转移转化能力良好。</w:t>
      </w:r>
    </w:p>
    <w:p w14:paraId="5E515536" w14:textId="77777777"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hint="eastAsia"/>
          <w:b/>
          <w:bCs/>
          <w:color w:val="222222"/>
          <w:spacing w:val="8"/>
          <w:kern w:val="0"/>
          <w:sz w:val="26"/>
          <w:szCs w:val="26"/>
        </w:rPr>
        <w:t>02</w:t>
      </w:r>
      <w:r w:rsidRPr="000F2F70">
        <w:rPr>
          <w:rFonts w:ascii="Calibri" w:eastAsia="仿宋" w:hAnsi="Calibri" w:cs="Calibri"/>
          <w:b/>
          <w:bCs/>
          <w:color w:val="222222"/>
          <w:spacing w:val="8"/>
          <w:kern w:val="0"/>
          <w:sz w:val="26"/>
          <w:szCs w:val="26"/>
        </w:rPr>
        <w:t>  </w:t>
      </w:r>
      <w:r w:rsidRPr="000F2F70">
        <w:rPr>
          <w:rFonts w:ascii="仿宋" w:eastAsia="仿宋" w:hAnsi="仿宋" w:cs="宋体" w:hint="eastAsia"/>
          <w:color w:val="222222"/>
          <w:spacing w:val="8"/>
          <w:kern w:val="0"/>
          <w:sz w:val="27"/>
          <w:szCs w:val="27"/>
        </w:rPr>
        <w:t>华中大氢能技术潜在合作对象分析</w:t>
      </w:r>
    </w:p>
    <w:p w14:paraId="713EE9D5" w14:textId="67498499" w:rsidR="000F2F70" w:rsidRPr="000F2F70" w:rsidRDefault="000F2F70" w:rsidP="000F2F70">
      <w:pPr>
        <w:widowControl/>
        <w:shd w:val="clear" w:color="auto" w:fill="FFFFFF"/>
        <w:spacing w:line="360" w:lineRule="auto"/>
        <w:rPr>
          <w:rFonts w:ascii="仿宋" w:eastAsia="仿宋" w:hAnsi="仿宋" w:cs="宋体" w:hint="eastAsia"/>
          <w:color w:val="222222"/>
          <w:spacing w:val="8"/>
          <w:kern w:val="0"/>
          <w:sz w:val="26"/>
          <w:szCs w:val="26"/>
        </w:rPr>
      </w:pPr>
      <w:r w:rsidRPr="000F2F70">
        <w:rPr>
          <w:rFonts w:ascii="仿宋" w:eastAsia="仿宋" w:hAnsi="仿宋" w:cs="宋体"/>
          <w:noProof/>
          <w:color w:val="222222"/>
          <w:spacing w:val="8"/>
          <w:kern w:val="0"/>
          <w:sz w:val="26"/>
          <w:szCs w:val="26"/>
        </w:rPr>
        <w:lastRenderedPageBreak/>
        <w:drawing>
          <wp:inline distT="0" distB="0" distL="0" distR="0" wp14:anchorId="15E8F7C8" wp14:editId="5AD2E289">
            <wp:extent cx="5274310" cy="2907030"/>
            <wp:effectExtent l="0" t="0" r="2540" b="762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07030"/>
                    </a:xfrm>
                    <a:prstGeom prst="rect">
                      <a:avLst/>
                    </a:prstGeom>
                    <a:noFill/>
                    <a:ln>
                      <a:noFill/>
                    </a:ln>
                  </pic:spPr>
                </pic:pic>
              </a:graphicData>
            </a:graphic>
          </wp:inline>
        </w:drawing>
      </w:r>
    </w:p>
    <w:p w14:paraId="159D7BD4" w14:textId="77777777" w:rsidR="000F2F70" w:rsidRPr="000F2F70" w:rsidRDefault="000F2F70" w:rsidP="000F2F70">
      <w:pPr>
        <w:widowControl/>
        <w:shd w:val="clear" w:color="auto" w:fill="FFFFFF"/>
        <w:spacing w:line="360" w:lineRule="auto"/>
        <w:ind w:firstLine="480"/>
        <w:rPr>
          <w:rFonts w:ascii="仿宋" w:eastAsia="仿宋" w:hAnsi="仿宋" w:cs="宋体" w:hint="eastAsia"/>
          <w:color w:val="222222"/>
          <w:spacing w:val="8"/>
          <w:kern w:val="0"/>
          <w:sz w:val="26"/>
          <w:szCs w:val="26"/>
        </w:rPr>
      </w:pPr>
      <w:r w:rsidRPr="000F2F70">
        <w:rPr>
          <w:rFonts w:ascii="Calibri" w:eastAsia="仿宋" w:hAnsi="Calibri" w:cs="Calibri"/>
          <w:color w:val="222222"/>
          <w:spacing w:val="8"/>
          <w:kern w:val="0"/>
          <w:sz w:val="26"/>
          <w:szCs w:val="26"/>
        </w:rPr>
        <w:t> </w:t>
      </w:r>
      <w:r w:rsidRPr="000F2F70">
        <w:rPr>
          <w:rFonts w:ascii="仿宋" w:eastAsia="仿宋" w:hAnsi="仿宋" w:cs="宋体" w:hint="eastAsia"/>
          <w:color w:val="222222"/>
          <w:spacing w:val="8"/>
          <w:kern w:val="0"/>
          <w:sz w:val="26"/>
          <w:szCs w:val="26"/>
        </w:rPr>
        <w:t>根据产业技术相关性分析，国家电网有限公司、中国石油化工股份有限公司、通用汽车环球科技运作有限责任公司、新源动力股份有限公司、</w:t>
      </w:r>
      <w:proofErr w:type="gramStart"/>
      <w:r w:rsidRPr="000F2F70">
        <w:rPr>
          <w:rFonts w:ascii="仿宋" w:eastAsia="仿宋" w:hAnsi="仿宋" w:cs="宋体" w:hint="eastAsia"/>
          <w:color w:val="222222"/>
          <w:spacing w:val="8"/>
          <w:kern w:val="0"/>
          <w:sz w:val="26"/>
          <w:szCs w:val="26"/>
        </w:rPr>
        <w:t>潍</w:t>
      </w:r>
      <w:proofErr w:type="gramEnd"/>
      <w:r w:rsidRPr="000F2F70">
        <w:rPr>
          <w:rFonts w:ascii="仿宋" w:eastAsia="仿宋" w:hAnsi="仿宋" w:cs="宋体" w:hint="eastAsia"/>
          <w:color w:val="222222"/>
          <w:spacing w:val="8"/>
          <w:kern w:val="0"/>
          <w:sz w:val="26"/>
          <w:szCs w:val="26"/>
        </w:rPr>
        <w:t>柴动力股份有限公司、中国华能集团清洁能源技术研究院有限公司等都具有潜在的合作可能。</w:t>
      </w:r>
    </w:p>
    <w:p w14:paraId="200BB1CE" w14:textId="77777777" w:rsidR="00747DDB" w:rsidRPr="000F2F70" w:rsidRDefault="00747DDB" w:rsidP="000F2F70">
      <w:pPr>
        <w:spacing w:line="360" w:lineRule="auto"/>
        <w:rPr>
          <w:rFonts w:ascii="仿宋" w:eastAsia="仿宋" w:hAnsi="仿宋"/>
        </w:rPr>
      </w:pPr>
    </w:p>
    <w:sectPr w:rsidR="00747DDB" w:rsidRPr="000F2F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B5"/>
    <w:rsid w:val="000F2F70"/>
    <w:rsid w:val="00747DDB"/>
    <w:rsid w:val="00AF4CB5"/>
    <w:rsid w:val="00F73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0C9FC-4167-446D-9C46-90FC231F8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F2F7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F2F70"/>
    <w:rPr>
      <w:rFonts w:ascii="宋体" w:eastAsia="宋体" w:hAnsi="宋体" w:cs="宋体"/>
      <w:b/>
      <w:bCs/>
      <w:kern w:val="36"/>
      <w:sz w:val="48"/>
      <w:szCs w:val="48"/>
    </w:rPr>
  </w:style>
  <w:style w:type="character" w:customStyle="1" w:styleId="richmediameta">
    <w:name w:val="rich_media_meta"/>
    <w:basedOn w:val="a0"/>
    <w:rsid w:val="000F2F70"/>
  </w:style>
  <w:style w:type="character" w:styleId="a3">
    <w:name w:val="Hyperlink"/>
    <w:basedOn w:val="a0"/>
    <w:uiPriority w:val="99"/>
    <w:semiHidden/>
    <w:unhideWhenUsed/>
    <w:rsid w:val="000F2F70"/>
    <w:rPr>
      <w:color w:val="0000FF"/>
      <w:u w:val="single"/>
    </w:rPr>
  </w:style>
  <w:style w:type="character" w:styleId="a4">
    <w:name w:val="Emphasis"/>
    <w:basedOn w:val="a0"/>
    <w:uiPriority w:val="20"/>
    <w:qFormat/>
    <w:rsid w:val="000F2F70"/>
    <w:rPr>
      <w:i/>
      <w:iCs/>
    </w:rPr>
  </w:style>
  <w:style w:type="character" w:customStyle="1" w:styleId="article-tag-cardtitle">
    <w:name w:val="article-tag-card__title"/>
    <w:basedOn w:val="a0"/>
    <w:rsid w:val="000F2F70"/>
  </w:style>
  <w:style w:type="character" w:customStyle="1" w:styleId="article-tagitem">
    <w:name w:val="article-tag__item"/>
    <w:basedOn w:val="a0"/>
    <w:rsid w:val="000F2F70"/>
  </w:style>
  <w:style w:type="character" w:customStyle="1" w:styleId="article-tag-cardright">
    <w:name w:val="article-tag-card__right"/>
    <w:basedOn w:val="a0"/>
    <w:rsid w:val="000F2F70"/>
  </w:style>
  <w:style w:type="paragraph" w:styleId="a5">
    <w:name w:val="Normal (Web)"/>
    <w:basedOn w:val="a"/>
    <w:uiPriority w:val="99"/>
    <w:semiHidden/>
    <w:unhideWhenUsed/>
    <w:rsid w:val="000F2F70"/>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0F2F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2778">
      <w:bodyDiv w:val="1"/>
      <w:marLeft w:val="0"/>
      <w:marRight w:val="0"/>
      <w:marTop w:val="0"/>
      <w:marBottom w:val="0"/>
      <w:divBdr>
        <w:top w:val="none" w:sz="0" w:space="0" w:color="auto"/>
        <w:left w:val="none" w:sz="0" w:space="0" w:color="auto"/>
        <w:bottom w:val="none" w:sz="0" w:space="0" w:color="auto"/>
        <w:right w:val="none" w:sz="0" w:space="0" w:color="auto"/>
      </w:divBdr>
      <w:divsChild>
        <w:div w:id="722950624">
          <w:marLeft w:val="0"/>
          <w:marRight w:val="0"/>
          <w:marTop w:val="0"/>
          <w:marBottom w:val="330"/>
          <w:divBdr>
            <w:top w:val="none" w:sz="0" w:space="0" w:color="auto"/>
            <w:left w:val="none" w:sz="0" w:space="0" w:color="auto"/>
            <w:bottom w:val="none" w:sz="0" w:space="0" w:color="auto"/>
            <w:right w:val="none" w:sz="0" w:space="0" w:color="auto"/>
          </w:divBdr>
        </w:div>
        <w:div w:id="27433711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javascript:void(0);"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291</Words>
  <Characters>1663</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宋 昊</dc:creator>
  <cp:keywords/>
  <dc:description/>
  <cp:lastModifiedBy>宋 昊</cp:lastModifiedBy>
  <cp:revision>2</cp:revision>
  <dcterms:created xsi:type="dcterms:W3CDTF">2022-12-23T06:07:00Z</dcterms:created>
  <dcterms:modified xsi:type="dcterms:W3CDTF">2022-12-23T06:07:00Z</dcterms:modified>
</cp:coreProperties>
</file>