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1"/>
          <w:numId w:val="0"/>
        </w:numPr>
        <w:bidi w:val="0"/>
        <w:ind w:leftChars="0"/>
        <w:jc w:val="center"/>
        <w:rPr>
          <w:lang w:val="en-US"/>
        </w:rPr>
      </w:pPr>
      <w:r>
        <w:rPr>
          <w:rFonts w:hint="eastAsia"/>
          <w:lang w:val="en-US"/>
        </w:rPr>
        <w:t>VLCOC 2023可见光通信与光计算大会</w:t>
      </w:r>
    </w:p>
    <w:p>
      <w:pPr>
        <w:pStyle w:val="5"/>
        <w:numPr>
          <w:ilvl w:val="1"/>
          <w:numId w:val="0"/>
        </w:numPr>
        <w:bidi w:val="0"/>
        <w:ind w:leftChars="0"/>
        <w:jc w:val="center"/>
        <w:rPr>
          <w:lang w:val="en-US"/>
        </w:rPr>
      </w:pPr>
      <w:r>
        <w:rPr>
          <w:rFonts w:hint="eastAsia"/>
          <w:lang w:val="en-US"/>
        </w:rPr>
        <w:t>在深圳举办</w:t>
      </w:r>
    </w:p>
    <w:p>
      <w:pPr>
        <w:spacing w:line="360" w:lineRule="auto"/>
        <w:ind w:firstLine="480" w:firstLineChars="200"/>
        <w:rPr>
          <w:rFonts w:hint="eastAsia" w:ascii="仿宋" w:hAnsi="仿宋" w:eastAsia="仿宋" w:cs="方正仿宋_GB2312"/>
          <w:kern w:val="2"/>
          <w:sz w:val="24"/>
          <w:szCs w:val="24"/>
          <w:lang w:val="en-US" w:bidi="ar-SA"/>
        </w:rPr>
      </w:pPr>
      <w:r>
        <w:rPr>
          <w:rFonts w:ascii="仿宋" w:hAnsi="仿宋" w:eastAsia="仿宋" w:cs="方正仿宋_GB2312"/>
          <w:kern w:val="2"/>
          <w:sz w:val="24"/>
          <w:szCs w:val="24"/>
          <w:lang w:val="en-US" w:bidi="ar-SA"/>
        </w:rPr>
        <w:t>2023</w:t>
      </w:r>
      <w:r>
        <w:rPr>
          <w:rFonts w:hint="eastAsia" w:ascii="仿宋" w:hAnsi="仿宋" w:eastAsia="仿宋" w:cs="方正仿宋_GB2312"/>
          <w:kern w:val="2"/>
          <w:sz w:val="24"/>
          <w:szCs w:val="24"/>
          <w:lang w:val="en-US" w:bidi="ar-SA"/>
        </w:rPr>
        <w:t>年8月19日</w:t>
      </w:r>
      <w:r>
        <w:rPr>
          <w:rFonts w:hint="default" w:ascii="仿宋" w:hAnsi="仿宋" w:eastAsia="仿宋" w:cs="方正仿宋_GB2312"/>
          <w:kern w:val="2"/>
          <w:sz w:val="24"/>
          <w:szCs w:val="24"/>
          <w:lang w:bidi="ar-SA"/>
        </w:rPr>
        <w:t>至20日</w:t>
      </w:r>
      <w:r>
        <w:rPr>
          <w:rFonts w:hint="eastAsia" w:ascii="仿宋" w:hAnsi="仿宋" w:eastAsia="仿宋" w:cs="方正仿宋_GB2312"/>
          <w:kern w:val="2"/>
          <w:sz w:val="24"/>
          <w:szCs w:val="24"/>
          <w:lang w:val="en-US" w:bidi="ar-SA"/>
        </w:rPr>
        <w:t>，VLCOC 2</w:t>
      </w:r>
      <w:r>
        <w:rPr>
          <w:rFonts w:ascii="仿宋" w:hAnsi="仿宋" w:eastAsia="仿宋" w:cs="方正仿宋_GB2312"/>
          <w:kern w:val="2"/>
          <w:sz w:val="24"/>
          <w:szCs w:val="24"/>
          <w:lang w:val="en-US" w:bidi="ar-SA"/>
        </w:rPr>
        <w:t>023</w:t>
      </w:r>
      <w:r>
        <w:rPr>
          <w:rFonts w:hint="eastAsia" w:ascii="仿宋" w:hAnsi="仿宋" w:eastAsia="仿宋" w:cs="方正仿宋_GB2312"/>
          <w:kern w:val="2"/>
          <w:sz w:val="24"/>
          <w:szCs w:val="24"/>
          <w:lang w:val="en-US" w:bidi="ar-SA"/>
        </w:rPr>
        <w:t>可见光通信与光计算大会在深圳大学城</w:t>
      </w:r>
      <w:r>
        <w:rPr>
          <w:rFonts w:hint="default" w:ascii="仿宋" w:hAnsi="仿宋" w:eastAsia="仿宋" w:cs="方正仿宋_GB2312"/>
          <w:kern w:val="2"/>
          <w:sz w:val="24"/>
          <w:szCs w:val="24"/>
          <w:lang w:bidi="ar-SA"/>
        </w:rPr>
        <w:t>圆满举办</w:t>
      </w:r>
      <w:r>
        <w:rPr>
          <w:rFonts w:hint="eastAsia" w:ascii="仿宋" w:hAnsi="仿宋" w:eastAsia="仿宋" w:cs="方正仿宋_GB2312"/>
          <w:kern w:val="2"/>
          <w:sz w:val="24"/>
          <w:szCs w:val="24"/>
          <w:lang w:val="en-US" w:bidi="ar-SA"/>
        </w:rPr>
        <w:t>。会议由粤港澳大湾区互联网联盟指导，中国光学学会、深圳市科学技术协会主办，中国光学学会全息与光信息处理专业委员会、深圳市计算机学会、深圳大学城管理服务中心承办，清华大学深圳国际研究生院、深圳市可见光通信与光计算产业联盟协办。本次大会汇聚了国内外百余名专家学者、企业家与高校师生，共同探讨可见光通信和光计算领域的历史渊源、研究现状与未来趋势。</w:t>
      </w:r>
    </w:p>
    <w:p>
      <w:pPr>
        <w:pStyle w:val="2"/>
        <w:rPr>
          <w:rFonts w:hint="eastAsia" w:eastAsia="仿宋"/>
          <w:lang w:val="en-US" w:eastAsia="zh-CN"/>
        </w:rPr>
      </w:pPr>
      <w:r>
        <w:rPr>
          <w:rFonts w:hint="eastAsia" w:eastAsia="仿宋"/>
          <w:lang w:val="en-US" w:eastAsia="zh-CN"/>
        </w:rPr>
        <w:drawing>
          <wp:inline distT="0" distB="0" distL="114300" distR="114300">
            <wp:extent cx="5269230" cy="3512820"/>
            <wp:effectExtent l="0" t="0" r="7620" b="11430"/>
            <wp:docPr id="1" name="图片 1" descr="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照"/>
                    <pic:cNvPicPr>
                      <a:picLocks noChangeAspect="1"/>
                    </pic:cNvPicPr>
                  </pic:nvPicPr>
                  <pic:blipFill>
                    <a:blip r:embed="rId4"/>
                    <a:stretch>
                      <a:fillRect/>
                    </a:stretch>
                  </pic:blipFill>
                  <pic:spPr>
                    <a:xfrm>
                      <a:off x="0" y="0"/>
                      <a:ext cx="5269230" cy="3512820"/>
                    </a:xfrm>
                    <a:prstGeom prst="rect">
                      <a:avLst/>
                    </a:prstGeom>
                  </pic:spPr>
                </pic:pic>
              </a:graphicData>
            </a:graphic>
          </wp:inline>
        </w:drawing>
      </w:r>
    </w:p>
    <w:p>
      <w:pPr>
        <w:spacing w:line="360" w:lineRule="auto"/>
        <w:ind w:firstLine="480" w:firstLineChars="200"/>
        <w:rPr>
          <w:rFonts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在深圳市政府去年推出的“20+8”产业规划中，可见光通信与光计算被列为重点发展的八大未来产业之一。本次大会围绕“可见光通信”和“光计算”两个主题，邀请了国内外7位顶尖学者作特邀报告，安排了45场口头报告、20个海报展示，以及相关的产业论坛，全面展示我国在可见光通信与光计算领域的研究现状。</w:t>
      </w:r>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深圳市科学技术协会党组书记、驻会副主席林祥，深圳市科技创新委员会党组成员、副主任钟海，中国光学学会副秘书长翟天瑞，清华大学深圳国际研究生院副院长马岚，深圳市计算机学会监事长江勇出席开幕式并致辞。大会由清华大学深圳国际研究生院数据与信息研究院院长张晓平担任主席，副院长宋健主持。</w:t>
      </w:r>
    </w:p>
    <w:p>
      <w:pPr>
        <w:spacing w:line="360" w:lineRule="auto"/>
        <w:ind w:firstLine="480" w:firstLineChars="200"/>
        <w:rPr>
          <w:rFonts w:hint="eastAsia" w:ascii="仿宋" w:hAnsi="仿宋" w:eastAsia="仿宋" w:cs="方正仿宋_GB2312"/>
          <w:kern w:val="2"/>
          <w:sz w:val="24"/>
          <w:szCs w:val="24"/>
          <w:lang w:val="en-US" w:eastAsia="zh-CN" w:bidi="ar-SA"/>
        </w:rPr>
      </w:pPr>
      <w:r>
        <w:rPr>
          <w:rFonts w:hint="eastAsia" w:ascii="仿宋" w:hAnsi="仿宋" w:eastAsia="仿宋" w:cs="方正仿宋_GB2312"/>
          <w:kern w:val="2"/>
          <w:sz w:val="24"/>
          <w:szCs w:val="24"/>
          <w:lang w:val="en-US" w:bidi="ar-SA"/>
        </w:rPr>
        <w:t>深圳市科学技术协会党组林祥书记发表致辞，他表示本次大会为我们提供了一个难得的平台，让我们可以了解可见光通信与光计算领域的最新进展和动态，市科协近年来已支持举办了一系列高端品牌活动，支持了200场以上各科技类社团活动，可见光通信与光计算大会也包括其中，希望深圳市计算机学会能将大会精神延续下去，走出深圳，走向国际。深圳市科技创新委员会钟海副主任致辞表示，可见光通信与光计算产业是战略性和先导性产业，深圳市制定了实施加快培育发展未来产业若干措施，助力可见光通信与光计算产业的发展，</w:t>
      </w:r>
      <w:r>
        <w:rPr>
          <w:rFonts w:hint="eastAsia" w:ascii="仿宋" w:hAnsi="仿宋" w:eastAsia="仿宋" w:cs="方正仿宋_GB2312"/>
          <w:kern w:val="2"/>
          <w:sz w:val="24"/>
          <w:szCs w:val="24"/>
          <w:lang w:val="en-US" w:eastAsia="zh-CN" w:bidi="ar-SA"/>
        </w:rPr>
        <w:t xml:space="preserve">支撑深圳经济再提速。 </w:t>
      </w:r>
    </w:p>
    <w:p>
      <w:pPr>
        <w:pStyle w:val="2"/>
        <w:rPr>
          <w:rFonts w:hint="eastAsia"/>
          <w:lang w:val="en-US"/>
        </w:rPr>
      </w:pPr>
      <w:r>
        <w:rPr>
          <w:rFonts w:hint="eastAsia"/>
          <w:lang w:val="en-US"/>
        </w:rPr>
        <w:drawing>
          <wp:inline distT="0" distB="0" distL="114300" distR="114300">
            <wp:extent cx="5269230" cy="3512820"/>
            <wp:effectExtent l="0" t="0" r="7620" b="11430"/>
            <wp:docPr id="3" name="图片 3" descr="林祥书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林祥书记"/>
                    <pic:cNvPicPr>
                      <a:picLocks noChangeAspect="1"/>
                    </pic:cNvPicPr>
                  </pic:nvPicPr>
                  <pic:blipFill>
                    <a:blip r:embed="rId5"/>
                    <a:stretch>
                      <a:fillRect/>
                    </a:stretch>
                  </pic:blipFill>
                  <pic:spPr>
                    <a:xfrm>
                      <a:off x="0" y="0"/>
                      <a:ext cx="5269230" cy="3512820"/>
                    </a:xfrm>
                    <a:prstGeom prst="rect">
                      <a:avLst/>
                    </a:prstGeom>
                  </pic:spPr>
                </pic:pic>
              </a:graphicData>
            </a:graphic>
          </wp:inline>
        </w:drawing>
      </w:r>
      <w:r>
        <w:rPr>
          <w:rFonts w:hint="eastAsia"/>
          <w:lang w:val="en-US"/>
        </w:rPr>
        <w:drawing>
          <wp:inline distT="0" distB="0" distL="114300" distR="114300">
            <wp:extent cx="5266690" cy="3510280"/>
            <wp:effectExtent l="0" t="0" r="10160" b="13970"/>
            <wp:docPr id="2" name="图片 2" descr="钟海副主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钟海副主任"/>
                    <pic:cNvPicPr>
                      <a:picLocks noChangeAspect="1"/>
                    </pic:cNvPicPr>
                  </pic:nvPicPr>
                  <pic:blipFill>
                    <a:blip r:embed="rId6"/>
                    <a:stretch>
                      <a:fillRect/>
                    </a:stretch>
                  </pic:blipFill>
                  <pic:spPr>
                    <a:xfrm>
                      <a:off x="0" y="0"/>
                      <a:ext cx="5266690" cy="3510280"/>
                    </a:xfrm>
                    <a:prstGeom prst="rect">
                      <a:avLst/>
                    </a:prstGeom>
                  </pic:spPr>
                </pic:pic>
              </a:graphicData>
            </a:graphic>
          </wp:inline>
        </w:drawing>
      </w:r>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中国光学学会副秘书长翟天瑞教授对第一届可见光通信与光计算大会在深圳召开表示祝贺。清华大学深圳国际研究生院马岚副院长非常高兴见证了深圳市可见光通信与光计算产业联盟的成立。深圳市计算机学会监事长江勇表示，可见光通信与光计算作为一门新兴的交叉学科，具有巨大的应用前景和创新潜力。同时，深圳市计算机学会18日选举成立了可见光通信与光计算专委会（筹)。大会主席张晓平院士作大会启动致辞时表示希望与与会者共同见证未来可见光通信与光计算领域发展的方向。</w:t>
      </w:r>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深圳市计算机学会SZCCF作为粤港澳大湾区互联网联盟联席理事长单位之一，致力于打造具有高端学术影响力的社会组织，</w:t>
      </w:r>
      <w:r>
        <w:rPr>
          <w:rFonts w:hint="eastAsia" w:ascii="仿宋" w:hAnsi="仿宋" w:eastAsia="仿宋" w:cs="方正仿宋_GB2312"/>
          <w:kern w:val="2"/>
          <w:sz w:val="24"/>
          <w:szCs w:val="24"/>
          <w:lang w:val="en-US" w:eastAsia="zh-CN" w:bidi="ar-SA"/>
        </w:rPr>
        <w:t>目前已成立11个专委会。</w:t>
      </w:r>
      <w:r>
        <w:rPr>
          <w:rFonts w:hint="eastAsia" w:ascii="仿宋" w:hAnsi="仿宋" w:eastAsia="仿宋" w:cs="方正仿宋_GB2312"/>
          <w:kern w:val="2"/>
          <w:sz w:val="24"/>
          <w:szCs w:val="24"/>
          <w:lang w:val="en-US" w:bidi="ar-SA"/>
        </w:rPr>
        <w:t>在深圳市发布“20+8”产业规划后，先后成立了</w:t>
      </w:r>
      <w:r>
        <w:rPr>
          <w:rFonts w:hint="eastAsia" w:ascii="仿宋" w:hAnsi="仿宋" w:eastAsia="仿宋" w:cs="方正仿宋_GB2312"/>
          <w:kern w:val="2"/>
          <w:sz w:val="24"/>
          <w:szCs w:val="24"/>
          <w:lang w:val="en-US" w:eastAsia="zh-CN" w:bidi="ar-SA"/>
        </w:rPr>
        <w:t>开源专委会（筹）、数字化信创专委会（筹）、可见光通信与光计算专委会（筹）</w:t>
      </w:r>
      <w:r>
        <w:rPr>
          <w:rFonts w:hint="eastAsia" w:ascii="仿宋" w:hAnsi="仿宋" w:eastAsia="仿宋" w:cs="方正仿宋_GB2312"/>
          <w:kern w:val="2"/>
          <w:sz w:val="24"/>
          <w:szCs w:val="24"/>
          <w:lang w:val="en-US" w:bidi="ar-SA"/>
        </w:rPr>
        <w:t>，并于大会开幕式中进行了</w:t>
      </w:r>
      <w:r>
        <w:rPr>
          <w:rFonts w:hint="eastAsia" w:ascii="仿宋" w:hAnsi="仿宋" w:eastAsia="仿宋" w:cs="方正仿宋_GB2312"/>
          <w:kern w:val="2"/>
          <w:sz w:val="24"/>
          <w:szCs w:val="24"/>
          <w:lang w:val="en-US" w:eastAsia="zh-CN" w:bidi="ar-SA"/>
        </w:rPr>
        <w:t>可见光通信与光计算</w:t>
      </w:r>
      <w:r>
        <w:rPr>
          <w:rFonts w:hint="eastAsia" w:ascii="仿宋" w:hAnsi="仿宋" w:eastAsia="仿宋" w:cs="方正仿宋_GB2312"/>
          <w:kern w:val="2"/>
          <w:sz w:val="24"/>
          <w:szCs w:val="24"/>
          <w:lang w:val="en-US" w:bidi="ar-SA"/>
        </w:rPr>
        <w:t>专委会（筹）主任宋健教授、秘书长焦述铭博士的聘任仪式，SZCCF将作为学术界和产业界的桥梁为未来产业发力布局，辐射大湾区未来产业发展。</w:t>
      </w:r>
    </w:p>
    <w:p>
      <w:pPr>
        <w:pStyle w:val="2"/>
        <w:rPr>
          <w:rFonts w:hint="eastAsia" w:eastAsia="仿宋"/>
          <w:lang w:val="en-US" w:eastAsia="zh-CN"/>
        </w:rPr>
      </w:pPr>
      <w:r>
        <w:rPr>
          <w:rFonts w:hint="eastAsia" w:eastAsia="仿宋"/>
          <w:lang w:val="en-US" w:eastAsia="zh-CN"/>
        </w:rPr>
        <w:drawing>
          <wp:inline distT="0" distB="0" distL="114300" distR="114300">
            <wp:extent cx="5271135" cy="3514725"/>
            <wp:effectExtent l="0" t="0" r="5715" b="9525"/>
            <wp:docPr id="4" name="图片 4" descr="专委会颁发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专委会颁发聘书"/>
                    <pic:cNvPicPr>
                      <a:picLocks noChangeAspect="1"/>
                    </pic:cNvPicPr>
                  </pic:nvPicPr>
                  <pic:blipFill>
                    <a:blip r:embed="rId7"/>
                    <a:stretch>
                      <a:fillRect/>
                    </a:stretch>
                  </pic:blipFill>
                  <pic:spPr>
                    <a:xfrm>
                      <a:off x="0" y="0"/>
                      <a:ext cx="5271135" cy="3514725"/>
                    </a:xfrm>
                    <a:prstGeom prst="rect">
                      <a:avLst/>
                    </a:prstGeom>
                  </pic:spPr>
                </pic:pic>
              </a:graphicData>
            </a:graphic>
          </wp:inline>
        </w:drawing>
      </w:r>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开幕式结束后，进入特邀报告环节，国内外7位顶尖学者——清华大学电子工程系教授、中国工程院院士罗毅，复旦大学信息学院院长、国家杰出青年科学基金获得者迟楠教授，中山大学电子与信息工程学院教授、国家杰出青年科学基金获得者李朝晖教授，暨南大学光子技术研究院教授、国家杰出青年科学基金获得者周常河教授，加拿大英属哥伦比亚大学教授、IEEE 无线通信委员会主席 Julian Cheng 教授，加州大学洛杉矶分校（UCLA）校长教授、Volgenau 工程创新主席 Aydogan Ozcan 教授以及英国爱丁堡大学客座教授、pureLiFi 有限公司的联合创始人和首席科学官（CSO）Harald Hass 教授，分别从器件层面、技术层面、传输层面、算力层面等方面进行了高水平主题学术报告。</w:t>
      </w:r>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罗毅院士以支撑网络化智能终端发展的光通信技术为主题，从器件层面探讨光通信的发展，报告了近些年来光通信的发展面临宽带网络化智能终端迅速崛起带来的机会和挑战。迟楠教授以面向6G的新频谱通信为主题，指出未来的大数据、人工智能、物联网等数据传输量将随着5G/6G通信的发展呈激增态势</w:t>
      </w:r>
      <w:r>
        <w:rPr>
          <w:rFonts w:hint="eastAsia" w:ascii="仿宋" w:hAnsi="仿宋" w:eastAsia="仿宋" w:cs="方正仿宋_GB2312"/>
          <w:kern w:val="2"/>
          <w:sz w:val="24"/>
          <w:szCs w:val="24"/>
          <w:lang w:val="en-US" w:eastAsia="zh-CN" w:bidi="ar-SA"/>
        </w:rPr>
        <w:t>，</w:t>
      </w:r>
      <w:r>
        <w:rPr>
          <w:rFonts w:hint="eastAsia" w:ascii="仿宋" w:hAnsi="仿宋" w:eastAsia="仿宋" w:cs="方正仿宋_GB2312"/>
          <w:kern w:val="2"/>
          <w:sz w:val="24"/>
          <w:szCs w:val="24"/>
          <w:lang w:val="en-US" w:bidi="ar-SA"/>
        </w:rPr>
        <w:t>预计6G容量将提升千倍，频谱有望拓展至太赫兹、可见光、紫外和红外波段。李朝辉教授以基于全光衍射神经网络的光学多模态信息处理芯片为主题，指出空分复用光通信系统是当前阶段的重要研究方向，也是未来实现光纤传输容量提升的重要技术。周</w:t>
      </w:r>
      <w:r>
        <w:rPr>
          <w:rFonts w:hint="eastAsia" w:ascii="仿宋" w:hAnsi="仿宋" w:eastAsia="仿宋" w:cs="方正仿宋_GB2312"/>
          <w:kern w:val="2"/>
          <w:sz w:val="24"/>
          <w:szCs w:val="24"/>
          <w:lang w:val="en-US" w:eastAsia="zh-CN" w:bidi="ar-SA"/>
        </w:rPr>
        <w:t>常</w:t>
      </w:r>
      <w:r>
        <w:rPr>
          <w:rFonts w:hint="eastAsia" w:ascii="仿宋" w:hAnsi="仿宋" w:eastAsia="仿宋" w:cs="方正仿宋_GB2312"/>
          <w:kern w:val="2"/>
          <w:sz w:val="24"/>
          <w:szCs w:val="24"/>
          <w:lang w:val="en-US" w:bidi="ar-SA"/>
        </w:rPr>
        <w:t>河教授在报告中指出</w:t>
      </w:r>
      <w:r>
        <w:rPr>
          <w:rFonts w:hint="eastAsia" w:ascii="仿宋" w:hAnsi="仿宋" w:eastAsia="仿宋" w:cs="方正仿宋_GB2312"/>
          <w:kern w:val="2"/>
          <w:sz w:val="24"/>
          <w:szCs w:val="24"/>
          <w:lang w:val="en-US" w:eastAsia="zh-CN" w:bidi="ar-SA"/>
        </w:rPr>
        <w:t>，</w:t>
      </w:r>
      <w:r>
        <w:rPr>
          <w:rFonts w:hint="eastAsia" w:ascii="仿宋" w:hAnsi="仿宋" w:eastAsia="仿宋" w:cs="方正仿宋_GB2312"/>
          <w:kern w:val="2"/>
          <w:sz w:val="24"/>
          <w:szCs w:val="24"/>
          <w:lang w:val="en-US" w:bidi="ar-SA"/>
        </w:rPr>
        <w:t>基于达曼光栅的光学卷积计算是非常有</w:t>
      </w:r>
      <w:r>
        <w:rPr>
          <w:rFonts w:hint="eastAsia" w:ascii="仿宋" w:hAnsi="仿宋" w:eastAsia="仿宋" w:cs="方正仿宋_GB2312"/>
          <w:kern w:val="2"/>
          <w:sz w:val="24"/>
          <w:szCs w:val="24"/>
          <w:lang w:val="en-US" w:eastAsia="zh-CN" w:bidi="ar-SA"/>
        </w:rPr>
        <w:t>前景</w:t>
      </w:r>
      <w:r>
        <w:rPr>
          <w:rFonts w:hint="eastAsia" w:ascii="仿宋" w:hAnsi="仿宋" w:eastAsia="仿宋" w:cs="方正仿宋_GB2312"/>
          <w:kern w:val="2"/>
          <w:sz w:val="24"/>
          <w:szCs w:val="24"/>
          <w:lang w:val="en-US" w:bidi="ar-SA"/>
        </w:rPr>
        <w:t>的光计算架构，达曼光栅是实现光学卷积计算的有效手段。不断改进达曼光计算机，提升算力，在特定的卷积计算方面，最终有望超越电子计算机。Julian Cheng教授针对深紫外NLOS通信领域的传输覆盖问题进行了报告，将米氏理论同气溶胶和水流星粒子相结合来估计信道模型的相关参数，从而确定了指定路径损失的UV NLOS通信的覆盖范围</w:t>
      </w:r>
      <w:r>
        <w:rPr>
          <w:rFonts w:hint="eastAsia" w:ascii="仿宋" w:hAnsi="仿宋" w:eastAsia="仿宋" w:cs="方正仿宋_GB2312"/>
          <w:kern w:val="2"/>
          <w:sz w:val="24"/>
          <w:szCs w:val="24"/>
          <w:lang w:val="en-US" w:eastAsia="zh-CN" w:bidi="ar-SA"/>
        </w:rPr>
        <w:t>，</w:t>
      </w:r>
      <w:r>
        <w:rPr>
          <w:rFonts w:hint="eastAsia" w:ascii="仿宋" w:hAnsi="仿宋" w:eastAsia="仿宋" w:cs="方正仿宋_GB2312"/>
          <w:kern w:val="2"/>
          <w:sz w:val="24"/>
          <w:szCs w:val="24"/>
          <w:lang w:val="en-US" w:bidi="ar-SA"/>
        </w:rPr>
        <w:t>为复杂环境下的深紫外通信工程应用问题提供了全面而详实的理论依据。Aydogan Ozcan教授做了以衍射光学网络与脱机计算成像为主题的报告，指出深度学习同衍射光网络结合所具有的显著优势，该技术未来将在多个领域得到广泛的应用。Harald Haas教授以LiFi的最新发展为主题，讨论了6G中的光谱技术在光电转换效率、强度守恒和空间紧密控制信号辐射的能力方面所面临的挑战，指出了IEEE 802.11bb标准化的现状与未来。</w:t>
      </w:r>
    </w:p>
    <w:p>
      <w:pPr>
        <w:pStyle w:val="2"/>
        <w:rPr>
          <w:rFonts w:hint="eastAsia" w:eastAsia="仿宋"/>
          <w:lang w:val="en-US" w:eastAsia="zh-CN"/>
        </w:rPr>
      </w:pPr>
      <w:r>
        <w:rPr>
          <w:rFonts w:hint="eastAsia" w:eastAsia="仿宋"/>
          <w:lang w:val="en-US" w:eastAsia="zh-CN"/>
        </w:rPr>
        <w:drawing>
          <wp:inline distT="0" distB="0" distL="114300" distR="114300">
            <wp:extent cx="5266690" cy="3510915"/>
            <wp:effectExtent l="0" t="0" r="10160" b="13335"/>
            <wp:docPr id="5" name="图片 5" descr="罗毅教授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罗毅教授报告"/>
                    <pic:cNvPicPr>
                      <a:picLocks noChangeAspect="1"/>
                    </pic:cNvPicPr>
                  </pic:nvPicPr>
                  <pic:blipFill>
                    <a:blip r:embed="rId8"/>
                    <a:stretch>
                      <a:fillRect/>
                    </a:stretch>
                  </pic:blipFill>
                  <pic:spPr>
                    <a:xfrm>
                      <a:off x="0" y="0"/>
                      <a:ext cx="5266690" cy="3510915"/>
                    </a:xfrm>
                    <a:prstGeom prst="rect">
                      <a:avLst/>
                    </a:prstGeom>
                  </pic:spPr>
                </pic:pic>
              </a:graphicData>
            </a:graphic>
          </wp:inline>
        </w:drawing>
      </w:r>
    </w:p>
    <w:p>
      <w:pPr>
        <w:pStyle w:val="4"/>
        <w:rPr>
          <w:rFonts w:hint="eastAsia"/>
          <w:lang w:val="en-US" w:eastAsia="zh-CN"/>
        </w:rPr>
      </w:pPr>
      <w:r>
        <w:rPr>
          <w:rFonts w:hint="eastAsia"/>
          <w:lang w:val="en-US" w:eastAsia="zh-CN"/>
        </w:rPr>
        <w:drawing>
          <wp:inline distT="0" distB="0" distL="114300" distR="114300">
            <wp:extent cx="5266690" cy="3510915"/>
            <wp:effectExtent l="0" t="0" r="10160" b="13335"/>
            <wp:docPr id="9" name="图片 9" descr="迟楠教授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迟楠教授报告"/>
                    <pic:cNvPicPr>
                      <a:picLocks noChangeAspect="1"/>
                    </pic:cNvPicPr>
                  </pic:nvPicPr>
                  <pic:blipFill>
                    <a:blip r:embed="rId9"/>
                    <a:stretch>
                      <a:fillRect/>
                    </a:stretch>
                  </pic:blipFill>
                  <pic:spPr>
                    <a:xfrm>
                      <a:off x="0" y="0"/>
                      <a:ext cx="5266690" cy="3510915"/>
                    </a:xfrm>
                    <a:prstGeom prst="rect">
                      <a:avLst/>
                    </a:prstGeom>
                  </pic:spPr>
                </pic:pic>
              </a:graphicData>
            </a:graphic>
          </wp:inline>
        </w:drawing>
      </w:r>
      <w:bookmarkStart w:id="0" w:name="_GoBack"/>
      <w:r>
        <w:rPr>
          <w:rFonts w:hint="eastAsia"/>
          <w:lang w:val="en-US" w:eastAsia="zh-CN"/>
        </w:rPr>
        <w:drawing>
          <wp:inline distT="0" distB="0" distL="114300" distR="114300">
            <wp:extent cx="5273040" cy="3514725"/>
            <wp:effectExtent l="0" t="0" r="3810" b="9525"/>
            <wp:docPr id="8" name="图片 8" descr="李朝晖教授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李朝晖教授报告"/>
                    <pic:cNvPicPr>
                      <a:picLocks noChangeAspect="1"/>
                    </pic:cNvPicPr>
                  </pic:nvPicPr>
                  <pic:blipFill>
                    <a:blip r:embed="rId10"/>
                    <a:stretch>
                      <a:fillRect/>
                    </a:stretch>
                  </pic:blipFill>
                  <pic:spPr>
                    <a:xfrm>
                      <a:off x="0" y="0"/>
                      <a:ext cx="5273040" cy="3514725"/>
                    </a:xfrm>
                    <a:prstGeom prst="rect">
                      <a:avLst/>
                    </a:prstGeom>
                  </pic:spPr>
                </pic:pic>
              </a:graphicData>
            </a:graphic>
          </wp:inline>
        </w:drawing>
      </w:r>
      <w:bookmarkEnd w:id="0"/>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19日下午及20日为平行论坛活动，分为可见光通信、光计算和企业论坛三个会场。各高校、研究院的专家学者共聚一堂，分享自己在领域内的最新研究成果。可见光通信会场中，22场口头报告涵盖了可见光通信中的定位技术、水下可见光通信系统、可见光通信中的器件与信道和可见光通信发展趋势等方面的内容。光计算会场以光学人工智能与神经网络、光计算产业化技术、光学人工智能与神经网络、新型光计算器件、光计算应用等五大主题进行了深入的探讨</w:t>
      </w:r>
      <w:r>
        <w:rPr>
          <w:rFonts w:hint="eastAsia" w:ascii="仿宋" w:hAnsi="仿宋" w:eastAsia="仿宋" w:cs="方正仿宋_GB2312"/>
          <w:kern w:val="2"/>
          <w:sz w:val="24"/>
          <w:szCs w:val="24"/>
          <w:lang w:val="en-US" w:eastAsia="zh-CN" w:bidi="ar-SA"/>
        </w:rPr>
        <w:t>，开展了23场口头报告</w:t>
      </w:r>
      <w:r>
        <w:rPr>
          <w:rFonts w:hint="eastAsia" w:ascii="仿宋" w:hAnsi="仿宋" w:eastAsia="仿宋" w:cs="方正仿宋_GB2312"/>
          <w:kern w:val="2"/>
          <w:sz w:val="24"/>
          <w:szCs w:val="24"/>
          <w:lang w:val="en-US" w:bidi="ar-SA"/>
        </w:rPr>
        <w:t>。企业论坛中，各企业代表聚焦可见光通信与光计算的产业化前景分别作了主旨报告，在圆桌论坛环节</w:t>
      </w:r>
      <w:r>
        <w:rPr>
          <w:rFonts w:hint="eastAsia" w:ascii="仿宋" w:hAnsi="仿宋" w:eastAsia="仿宋" w:cs="方正仿宋_GB2312"/>
          <w:kern w:val="2"/>
          <w:sz w:val="24"/>
          <w:szCs w:val="24"/>
          <w:lang w:val="en-US" w:eastAsia="zh-CN" w:bidi="ar-SA"/>
        </w:rPr>
        <w:t>中</w:t>
      </w:r>
      <w:r>
        <w:rPr>
          <w:rFonts w:hint="eastAsia" w:ascii="仿宋" w:hAnsi="仿宋" w:eastAsia="仿宋" w:cs="方正仿宋_GB2312"/>
          <w:kern w:val="2"/>
          <w:sz w:val="24"/>
          <w:szCs w:val="24"/>
          <w:lang w:val="en-US" w:bidi="ar-SA"/>
        </w:rPr>
        <w:t>更是碰撞出许多火花。</w:t>
      </w:r>
    </w:p>
    <w:p>
      <w:pPr>
        <w:spacing w:line="360" w:lineRule="auto"/>
        <w:ind w:firstLine="480" w:firstLineChars="200"/>
        <w:rPr>
          <w:rFonts w:hint="eastAsia" w:ascii="仿宋" w:hAnsi="仿宋" w:eastAsia="仿宋" w:cs="方正仿宋_GB2312"/>
          <w:kern w:val="2"/>
          <w:sz w:val="24"/>
          <w:szCs w:val="24"/>
          <w:lang w:val="en-US" w:bidi="ar-SA"/>
        </w:rPr>
      </w:pPr>
      <w:r>
        <w:rPr>
          <w:rFonts w:hint="eastAsia" w:ascii="仿宋" w:hAnsi="仿宋" w:eastAsia="仿宋" w:cs="方正仿宋_GB2312"/>
          <w:kern w:val="2"/>
          <w:sz w:val="24"/>
          <w:szCs w:val="24"/>
          <w:lang w:val="en-US" w:bidi="ar-SA"/>
        </w:rPr>
        <w:t>来自各个领域的专家学者、技术专家在为期两天的会议中进行了卓有成效的交流探讨。纵览包括光计算与光通信在内的所有学术交流主题、企业论坛焦点，不仅有工程应用，也有技术细节；不仅深耕相关领域重难点攻关，也着眼于已有技术的产业化路径与方向；不仅发挥了科研院所的专精优势，也融合了工业领域的成熟实用化经验。会议以粤港澳大湾区为中心，辐射全国，充分体现了深圳市政府</w:t>
      </w:r>
      <w:r>
        <w:rPr>
          <w:rFonts w:hint="default" w:ascii="仿宋" w:hAnsi="仿宋" w:eastAsia="仿宋" w:cs="方正仿宋_GB2312"/>
          <w:kern w:val="2"/>
          <w:sz w:val="24"/>
          <w:szCs w:val="24"/>
          <w:lang w:bidi="ar-SA"/>
        </w:rPr>
        <w:t>推动产业创新和发展的坚定决心，展现出粤港澳大湾区信息与制造业的强大发展潜力和竞争力</w:t>
      </w:r>
      <w:r>
        <w:rPr>
          <w:rFonts w:hint="eastAsia" w:ascii="仿宋" w:hAnsi="仿宋" w:eastAsia="仿宋" w:cs="方正仿宋_GB2312"/>
          <w:kern w:val="2"/>
          <w:sz w:val="24"/>
          <w:szCs w:val="24"/>
          <w:lang w:val="en-US" w:bidi="ar-SA"/>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1" w:fontKey="{AE49DDA4-D6AE-4F1E-9D34-9182FDB7BC2E}"/>
  </w:font>
  <w:font w:name="方正仿宋_GB2312">
    <w:panose1 w:val="02000000000000000000"/>
    <w:charset w:val="86"/>
    <w:family w:val="auto"/>
    <w:pitch w:val="default"/>
    <w:sig w:usb0="A00002BF" w:usb1="184F6CFA" w:usb2="00000012" w:usb3="00000000" w:csb0="00040001" w:csb1="00000000"/>
    <w:embedRegular r:id="rId2" w:fontKey="{FED9F43F-80D2-444B-B99B-3273F189504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7C0BC"/>
    <w:multiLevelType w:val="multilevel"/>
    <w:tmpl w:val="1C27C0BC"/>
    <w:lvl w:ilvl="0" w:tentative="0">
      <w:start w:val="1"/>
      <w:numFmt w:val="chineseCounting"/>
      <w:suff w:val="nothing"/>
      <w:lvlText w:val="%1、"/>
      <w:lvlJc w:val="left"/>
      <w:pPr>
        <w:ind w:left="0" w:firstLine="0"/>
      </w:pPr>
      <w:rPr>
        <w:rFonts w:hint="eastAsia"/>
      </w:rPr>
    </w:lvl>
    <w:lvl w:ilvl="1" w:tentative="0">
      <w:start w:val="1"/>
      <w:numFmt w:val="chineseCounting"/>
      <w:pStyle w:val="5"/>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0MWY1NGIwZDUzMjA2ZTI1YTQ0ZGE3ZjEwNTBjNmIifQ=="/>
  </w:docVars>
  <w:rsids>
    <w:rsidRoot w:val="008857F8"/>
    <w:rsid w:val="00001F2D"/>
    <w:rsid w:val="000034BA"/>
    <w:rsid w:val="00010585"/>
    <w:rsid w:val="00014C5C"/>
    <w:rsid w:val="00030383"/>
    <w:rsid w:val="00031754"/>
    <w:rsid w:val="00035E30"/>
    <w:rsid w:val="0003685D"/>
    <w:rsid w:val="000375B9"/>
    <w:rsid w:val="00050698"/>
    <w:rsid w:val="00055076"/>
    <w:rsid w:val="00073DC6"/>
    <w:rsid w:val="00076A1B"/>
    <w:rsid w:val="00087426"/>
    <w:rsid w:val="000906E9"/>
    <w:rsid w:val="000C3CC3"/>
    <w:rsid w:val="000D34A1"/>
    <w:rsid w:val="000D7B42"/>
    <w:rsid w:val="000E27DD"/>
    <w:rsid w:val="000E330C"/>
    <w:rsid w:val="000E6255"/>
    <w:rsid w:val="000F10A2"/>
    <w:rsid w:val="000F6EB2"/>
    <w:rsid w:val="00100B05"/>
    <w:rsid w:val="001074F5"/>
    <w:rsid w:val="001152AE"/>
    <w:rsid w:val="00125237"/>
    <w:rsid w:val="001302C8"/>
    <w:rsid w:val="001348AF"/>
    <w:rsid w:val="00136D62"/>
    <w:rsid w:val="0014017B"/>
    <w:rsid w:val="00145CCD"/>
    <w:rsid w:val="00150A3F"/>
    <w:rsid w:val="00155BC3"/>
    <w:rsid w:val="00162EE3"/>
    <w:rsid w:val="001639AE"/>
    <w:rsid w:val="001730B0"/>
    <w:rsid w:val="00181768"/>
    <w:rsid w:val="001924E9"/>
    <w:rsid w:val="0019300D"/>
    <w:rsid w:val="0019537F"/>
    <w:rsid w:val="001A07CE"/>
    <w:rsid w:val="001C6A39"/>
    <w:rsid w:val="001D2922"/>
    <w:rsid w:val="001D672A"/>
    <w:rsid w:val="001D691A"/>
    <w:rsid w:val="001E1A1D"/>
    <w:rsid w:val="001E293D"/>
    <w:rsid w:val="001E466F"/>
    <w:rsid w:val="001F216E"/>
    <w:rsid w:val="001F3A23"/>
    <w:rsid w:val="001F7EBB"/>
    <w:rsid w:val="002005A7"/>
    <w:rsid w:val="00200BFB"/>
    <w:rsid w:val="00202ECC"/>
    <w:rsid w:val="00207D89"/>
    <w:rsid w:val="002162FC"/>
    <w:rsid w:val="00226602"/>
    <w:rsid w:val="002312E5"/>
    <w:rsid w:val="0023591D"/>
    <w:rsid w:val="002406EB"/>
    <w:rsid w:val="00246060"/>
    <w:rsid w:val="002648F5"/>
    <w:rsid w:val="0027515B"/>
    <w:rsid w:val="00290A41"/>
    <w:rsid w:val="00294043"/>
    <w:rsid w:val="00295CB5"/>
    <w:rsid w:val="002A31BA"/>
    <w:rsid w:val="002A4F85"/>
    <w:rsid w:val="002A5EDF"/>
    <w:rsid w:val="002B6807"/>
    <w:rsid w:val="002B6B7F"/>
    <w:rsid w:val="002C6888"/>
    <w:rsid w:val="002D2735"/>
    <w:rsid w:val="002E6487"/>
    <w:rsid w:val="002F5CB1"/>
    <w:rsid w:val="003042A4"/>
    <w:rsid w:val="00304E08"/>
    <w:rsid w:val="00314495"/>
    <w:rsid w:val="003155C8"/>
    <w:rsid w:val="0031644A"/>
    <w:rsid w:val="003176D7"/>
    <w:rsid w:val="00335103"/>
    <w:rsid w:val="00336CC2"/>
    <w:rsid w:val="0034339C"/>
    <w:rsid w:val="00350010"/>
    <w:rsid w:val="0035441A"/>
    <w:rsid w:val="00370FE0"/>
    <w:rsid w:val="00387970"/>
    <w:rsid w:val="00394392"/>
    <w:rsid w:val="00395696"/>
    <w:rsid w:val="003A1265"/>
    <w:rsid w:val="003A4B94"/>
    <w:rsid w:val="003B667C"/>
    <w:rsid w:val="003B7836"/>
    <w:rsid w:val="003C5187"/>
    <w:rsid w:val="003D2598"/>
    <w:rsid w:val="003D2E34"/>
    <w:rsid w:val="003D4EA2"/>
    <w:rsid w:val="003D542C"/>
    <w:rsid w:val="003E1E5E"/>
    <w:rsid w:val="003E61B1"/>
    <w:rsid w:val="003E63C2"/>
    <w:rsid w:val="003E7415"/>
    <w:rsid w:val="003F2846"/>
    <w:rsid w:val="00404AF3"/>
    <w:rsid w:val="004102D5"/>
    <w:rsid w:val="004117FB"/>
    <w:rsid w:val="004205A8"/>
    <w:rsid w:val="0042578F"/>
    <w:rsid w:val="00425846"/>
    <w:rsid w:val="004264E9"/>
    <w:rsid w:val="00432D19"/>
    <w:rsid w:val="0043511E"/>
    <w:rsid w:val="0044195C"/>
    <w:rsid w:val="00445216"/>
    <w:rsid w:val="00446E39"/>
    <w:rsid w:val="004471ED"/>
    <w:rsid w:val="004479B3"/>
    <w:rsid w:val="004566EB"/>
    <w:rsid w:val="00461068"/>
    <w:rsid w:val="00461B6D"/>
    <w:rsid w:val="00465832"/>
    <w:rsid w:val="004860F1"/>
    <w:rsid w:val="00487121"/>
    <w:rsid w:val="00487F29"/>
    <w:rsid w:val="00490C48"/>
    <w:rsid w:val="004A4265"/>
    <w:rsid w:val="004A4D58"/>
    <w:rsid w:val="004A644F"/>
    <w:rsid w:val="004B5980"/>
    <w:rsid w:val="004B5FDE"/>
    <w:rsid w:val="004C12D7"/>
    <w:rsid w:val="004C1C99"/>
    <w:rsid w:val="004C2D86"/>
    <w:rsid w:val="004E29BC"/>
    <w:rsid w:val="004E496A"/>
    <w:rsid w:val="004F75BD"/>
    <w:rsid w:val="0050210B"/>
    <w:rsid w:val="00502428"/>
    <w:rsid w:val="00504C69"/>
    <w:rsid w:val="00505F9E"/>
    <w:rsid w:val="00507FAB"/>
    <w:rsid w:val="005119B5"/>
    <w:rsid w:val="0051286F"/>
    <w:rsid w:val="005356F2"/>
    <w:rsid w:val="005404B0"/>
    <w:rsid w:val="005430C9"/>
    <w:rsid w:val="00544F38"/>
    <w:rsid w:val="0054590B"/>
    <w:rsid w:val="005635FE"/>
    <w:rsid w:val="005836F8"/>
    <w:rsid w:val="0059466F"/>
    <w:rsid w:val="005A134C"/>
    <w:rsid w:val="005A232C"/>
    <w:rsid w:val="005A2735"/>
    <w:rsid w:val="005A2870"/>
    <w:rsid w:val="005B7215"/>
    <w:rsid w:val="005B7EA6"/>
    <w:rsid w:val="005C0B9B"/>
    <w:rsid w:val="005D1AA8"/>
    <w:rsid w:val="005D332D"/>
    <w:rsid w:val="005E4BD4"/>
    <w:rsid w:val="005F0E2A"/>
    <w:rsid w:val="005F177A"/>
    <w:rsid w:val="005F31A6"/>
    <w:rsid w:val="00607994"/>
    <w:rsid w:val="006118DC"/>
    <w:rsid w:val="00611DE8"/>
    <w:rsid w:val="00616D90"/>
    <w:rsid w:val="00621EB1"/>
    <w:rsid w:val="00623B35"/>
    <w:rsid w:val="0062497E"/>
    <w:rsid w:val="006279C3"/>
    <w:rsid w:val="00644509"/>
    <w:rsid w:val="00647174"/>
    <w:rsid w:val="00660B24"/>
    <w:rsid w:val="00662FA6"/>
    <w:rsid w:val="00664A88"/>
    <w:rsid w:val="006660F0"/>
    <w:rsid w:val="00675933"/>
    <w:rsid w:val="00681153"/>
    <w:rsid w:val="00686918"/>
    <w:rsid w:val="00686D66"/>
    <w:rsid w:val="0069541D"/>
    <w:rsid w:val="006A0903"/>
    <w:rsid w:val="006A5A73"/>
    <w:rsid w:val="006A7FE4"/>
    <w:rsid w:val="006B040B"/>
    <w:rsid w:val="006B410D"/>
    <w:rsid w:val="006B64C8"/>
    <w:rsid w:val="006C25C9"/>
    <w:rsid w:val="006D17E0"/>
    <w:rsid w:val="006D2774"/>
    <w:rsid w:val="006D2865"/>
    <w:rsid w:val="006D7017"/>
    <w:rsid w:val="006E011B"/>
    <w:rsid w:val="006E0C00"/>
    <w:rsid w:val="006E3981"/>
    <w:rsid w:val="006E4E35"/>
    <w:rsid w:val="006E56FC"/>
    <w:rsid w:val="006E6CC2"/>
    <w:rsid w:val="006F4275"/>
    <w:rsid w:val="0070183D"/>
    <w:rsid w:val="00702379"/>
    <w:rsid w:val="00704A36"/>
    <w:rsid w:val="00705FA4"/>
    <w:rsid w:val="00712208"/>
    <w:rsid w:val="00712800"/>
    <w:rsid w:val="007146D8"/>
    <w:rsid w:val="00715105"/>
    <w:rsid w:val="007179A2"/>
    <w:rsid w:val="00717D5B"/>
    <w:rsid w:val="00726EFB"/>
    <w:rsid w:val="00734332"/>
    <w:rsid w:val="0073661F"/>
    <w:rsid w:val="00744BE2"/>
    <w:rsid w:val="00747122"/>
    <w:rsid w:val="0076114A"/>
    <w:rsid w:val="00765731"/>
    <w:rsid w:val="00767DA4"/>
    <w:rsid w:val="007763FD"/>
    <w:rsid w:val="00780710"/>
    <w:rsid w:val="007831C7"/>
    <w:rsid w:val="00783DC6"/>
    <w:rsid w:val="00791099"/>
    <w:rsid w:val="00793BB2"/>
    <w:rsid w:val="007A5120"/>
    <w:rsid w:val="007B530D"/>
    <w:rsid w:val="007C0F6D"/>
    <w:rsid w:val="007C3D28"/>
    <w:rsid w:val="007D26DA"/>
    <w:rsid w:val="007D510C"/>
    <w:rsid w:val="007E0552"/>
    <w:rsid w:val="007E41D6"/>
    <w:rsid w:val="007E50F5"/>
    <w:rsid w:val="007F02ED"/>
    <w:rsid w:val="007F03AC"/>
    <w:rsid w:val="007F0E08"/>
    <w:rsid w:val="00811336"/>
    <w:rsid w:val="00811A7A"/>
    <w:rsid w:val="00811EB8"/>
    <w:rsid w:val="00821E73"/>
    <w:rsid w:val="008248FF"/>
    <w:rsid w:val="008317F2"/>
    <w:rsid w:val="00833531"/>
    <w:rsid w:val="00833C53"/>
    <w:rsid w:val="0083639D"/>
    <w:rsid w:val="008371D2"/>
    <w:rsid w:val="00853957"/>
    <w:rsid w:val="00853B18"/>
    <w:rsid w:val="008546D4"/>
    <w:rsid w:val="00855A9E"/>
    <w:rsid w:val="0086054E"/>
    <w:rsid w:val="00874C55"/>
    <w:rsid w:val="008756F7"/>
    <w:rsid w:val="00880B67"/>
    <w:rsid w:val="008857F8"/>
    <w:rsid w:val="008907E6"/>
    <w:rsid w:val="00893358"/>
    <w:rsid w:val="00896B3F"/>
    <w:rsid w:val="008A0815"/>
    <w:rsid w:val="008B0570"/>
    <w:rsid w:val="008B16BF"/>
    <w:rsid w:val="008C0319"/>
    <w:rsid w:val="008C4AB9"/>
    <w:rsid w:val="008C4E5E"/>
    <w:rsid w:val="008C6BEF"/>
    <w:rsid w:val="008E41A4"/>
    <w:rsid w:val="008E4388"/>
    <w:rsid w:val="008E4ABC"/>
    <w:rsid w:val="008E6028"/>
    <w:rsid w:val="008E6822"/>
    <w:rsid w:val="008F474D"/>
    <w:rsid w:val="008F581B"/>
    <w:rsid w:val="008F6E2D"/>
    <w:rsid w:val="00907DD3"/>
    <w:rsid w:val="009109C6"/>
    <w:rsid w:val="009122AF"/>
    <w:rsid w:val="00913070"/>
    <w:rsid w:val="009137EA"/>
    <w:rsid w:val="00914294"/>
    <w:rsid w:val="00916F56"/>
    <w:rsid w:val="0092465D"/>
    <w:rsid w:val="00925DA8"/>
    <w:rsid w:val="00933274"/>
    <w:rsid w:val="009371F3"/>
    <w:rsid w:val="00942D92"/>
    <w:rsid w:val="00946770"/>
    <w:rsid w:val="00950D94"/>
    <w:rsid w:val="009546B9"/>
    <w:rsid w:val="009559DD"/>
    <w:rsid w:val="00964064"/>
    <w:rsid w:val="0097258F"/>
    <w:rsid w:val="00985B0E"/>
    <w:rsid w:val="00986A1C"/>
    <w:rsid w:val="00987C5E"/>
    <w:rsid w:val="00990A13"/>
    <w:rsid w:val="0099381B"/>
    <w:rsid w:val="009939B5"/>
    <w:rsid w:val="009943B3"/>
    <w:rsid w:val="00997DFA"/>
    <w:rsid w:val="009A7FB7"/>
    <w:rsid w:val="009B2697"/>
    <w:rsid w:val="009B7A9A"/>
    <w:rsid w:val="009C7E90"/>
    <w:rsid w:val="009E398C"/>
    <w:rsid w:val="009E49CD"/>
    <w:rsid w:val="009E4C5C"/>
    <w:rsid w:val="009E5B0B"/>
    <w:rsid w:val="009F150C"/>
    <w:rsid w:val="009F1AB5"/>
    <w:rsid w:val="00A0400B"/>
    <w:rsid w:val="00A04546"/>
    <w:rsid w:val="00A06221"/>
    <w:rsid w:val="00A13092"/>
    <w:rsid w:val="00A13966"/>
    <w:rsid w:val="00A21F98"/>
    <w:rsid w:val="00A35847"/>
    <w:rsid w:val="00A41AA1"/>
    <w:rsid w:val="00A44AAC"/>
    <w:rsid w:val="00A52908"/>
    <w:rsid w:val="00A52DEA"/>
    <w:rsid w:val="00A575B4"/>
    <w:rsid w:val="00A6028C"/>
    <w:rsid w:val="00A643E4"/>
    <w:rsid w:val="00A76650"/>
    <w:rsid w:val="00A81EB8"/>
    <w:rsid w:val="00A8613A"/>
    <w:rsid w:val="00A86466"/>
    <w:rsid w:val="00A86500"/>
    <w:rsid w:val="00A87D74"/>
    <w:rsid w:val="00A90CDA"/>
    <w:rsid w:val="00A95651"/>
    <w:rsid w:val="00AA1D64"/>
    <w:rsid w:val="00AA2BFC"/>
    <w:rsid w:val="00AA7394"/>
    <w:rsid w:val="00AB39F2"/>
    <w:rsid w:val="00AB4DE6"/>
    <w:rsid w:val="00AB7825"/>
    <w:rsid w:val="00AC06A5"/>
    <w:rsid w:val="00AC3273"/>
    <w:rsid w:val="00AD67D2"/>
    <w:rsid w:val="00AF1C43"/>
    <w:rsid w:val="00AF3C41"/>
    <w:rsid w:val="00B028E2"/>
    <w:rsid w:val="00B060BA"/>
    <w:rsid w:val="00B14E90"/>
    <w:rsid w:val="00B1778E"/>
    <w:rsid w:val="00B208F4"/>
    <w:rsid w:val="00B20B3B"/>
    <w:rsid w:val="00B23996"/>
    <w:rsid w:val="00B245A2"/>
    <w:rsid w:val="00B24D58"/>
    <w:rsid w:val="00B26EDD"/>
    <w:rsid w:val="00B27137"/>
    <w:rsid w:val="00B42ACF"/>
    <w:rsid w:val="00B460E2"/>
    <w:rsid w:val="00B4655B"/>
    <w:rsid w:val="00B518E9"/>
    <w:rsid w:val="00B54FC7"/>
    <w:rsid w:val="00B724B6"/>
    <w:rsid w:val="00B7558B"/>
    <w:rsid w:val="00B77DE3"/>
    <w:rsid w:val="00BA048D"/>
    <w:rsid w:val="00BB2AD1"/>
    <w:rsid w:val="00BC2426"/>
    <w:rsid w:val="00BC51A5"/>
    <w:rsid w:val="00BD3302"/>
    <w:rsid w:val="00BE097D"/>
    <w:rsid w:val="00C0752A"/>
    <w:rsid w:val="00C12C3E"/>
    <w:rsid w:val="00C2688B"/>
    <w:rsid w:val="00C3197B"/>
    <w:rsid w:val="00C43D66"/>
    <w:rsid w:val="00C45313"/>
    <w:rsid w:val="00C53B3E"/>
    <w:rsid w:val="00C57224"/>
    <w:rsid w:val="00C63324"/>
    <w:rsid w:val="00C66CB8"/>
    <w:rsid w:val="00C80F39"/>
    <w:rsid w:val="00C83CA2"/>
    <w:rsid w:val="00C85305"/>
    <w:rsid w:val="00C8701A"/>
    <w:rsid w:val="00C90E96"/>
    <w:rsid w:val="00C91B0B"/>
    <w:rsid w:val="00C92FB7"/>
    <w:rsid w:val="00C95222"/>
    <w:rsid w:val="00C95D67"/>
    <w:rsid w:val="00CA134E"/>
    <w:rsid w:val="00CA3B5B"/>
    <w:rsid w:val="00CA4E71"/>
    <w:rsid w:val="00CA6EAA"/>
    <w:rsid w:val="00CB06D1"/>
    <w:rsid w:val="00CB17BB"/>
    <w:rsid w:val="00CB20C0"/>
    <w:rsid w:val="00CC3964"/>
    <w:rsid w:val="00CC5543"/>
    <w:rsid w:val="00CD1651"/>
    <w:rsid w:val="00CD1EA6"/>
    <w:rsid w:val="00CD1F80"/>
    <w:rsid w:val="00CD26B2"/>
    <w:rsid w:val="00CD2B98"/>
    <w:rsid w:val="00CF460B"/>
    <w:rsid w:val="00D05916"/>
    <w:rsid w:val="00D1287A"/>
    <w:rsid w:val="00D12917"/>
    <w:rsid w:val="00D1645F"/>
    <w:rsid w:val="00D25CA6"/>
    <w:rsid w:val="00D3174E"/>
    <w:rsid w:val="00D31C55"/>
    <w:rsid w:val="00D34BE7"/>
    <w:rsid w:val="00D405F1"/>
    <w:rsid w:val="00D40733"/>
    <w:rsid w:val="00D408E2"/>
    <w:rsid w:val="00D53BCC"/>
    <w:rsid w:val="00D56D2A"/>
    <w:rsid w:val="00D616D6"/>
    <w:rsid w:val="00D6494B"/>
    <w:rsid w:val="00D6617D"/>
    <w:rsid w:val="00D73BEC"/>
    <w:rsid w:val="00D753C9"/>
    <w:rsid w:val="00D87A5F"/>
    <w:rsid w:val="00D87A7D"/>
    <w:rsid w:val="00D900BF"/>
    <w:rsid w:val="00D92269"/>
    <w:rsid w:val="00D93E24"/>
    <w:rsid w:val="00DA3070"/>
    <w:rsid w:val="00DC24D3"/>
    <w:rsid w:val="00DC3A01"/>
    <w:rsid w:val="00DC56FF"/>
    <w:rsid w:val="00DE0B0E"/>
    <w:rsid w:val="00E043EA"/>
    <w:rsid w:val="00E1274B"/>
    <w:rsid w:val="00E23517"/>
    <w:rsid w:val="00E24DDE"/>
    <w:rsid w:val="00E27F92"/>
    <w:rsid w:val="00E33127"/>
    <w:rsid w:val="00E34864"/>
    <w:rsid w:val="00E3551E"/>
    <w:rsid w:val="00E4208B"/>
    <w:rsid w:val="00E42787"/>
    <w:rsid w:val="00E45001"/>
    <w:rsid w:val="00E5083C"/>
    <w:rsid w:val="00E57B4A"/>
    <w:rsid w:val="00E641FF"/>
    <w:rsid w:val="00E65C2B"/>
    <w:rsid w:val="00E8414D"/>
    <w:rsid w:val="00E874D7"/>
    <w:rsid w:val="00E90C6E"/>
    <w:rsid w:val="00EA1F26"/>
    <w:rsid w:val="00EA430A"/>
    <w:rsid w:val="00EB329D"/>
    <w:rsid w:val="00EB663C"/>
    <w:rsid w:val="00EC7021"/>
    <w:rsid w:val="00ED3DD1"/>
    <w:rsid w:val="00ED4F1D"/>
    <w:rsid w:val="00EE2BF5"/>
    <w:rsid w:val="00EE5617"/>
    <w:rsid w:val="00EF1B7C"/>
    <w:rsid w:val="00F1109B"/>
    <w:rsid w:val="00F133D8"/>
    <w:rsid w:val="00F16CC0"/>
    <w:rsid w:val="00F16EAB"/>
    <w:rsid w:val="00F173EE"/>
    <w:rsid w:val="00F24A45"/>
    <w:rsid w:val="00F3449D"/>
    <w:rsid w:val="00F36730"/>
    <w:rsid w:val="00F424F2"/>
    <w:rsid w:val="00F51E5F"/>
    <w:rsid w:val="00F565CF"/>
    <w:rsid w:val="00F62E1D"/>
    <w:rsid w:val="00F714F6"/>
    <w:rsid w:val="00F76024"/>
    <w:rsid w:val="00F84CDA"/>
    <w:rsid w:val="00F852E8"/>
    <w:rsid w:val="00F93E50"/>
    <w:rsid w:val="00F972ED"/>
    <w:rsid w:val="00FC3174"/>
    <w:rsid w:val="00FD42CD"/>
    <w:rsid w:val="00FE36CE"/>
    <w:rsid w:val="00FE460D"/>
    <w:rsid w:val="0DB74B09"/>
    <w:rsid w:val="326B51A9"/>
    <w:rsid w:val="3B0F4FE3"/>
    <w:rsid w:val="436873FF"/>
    <w:rsid w:val="749B1534"/>
    <w:rsid w:val="EB6D89E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1"/>
      <w:szCs w:val="22"/>
      <w:lang w:val="zh-CN" w:eastAsia="zh-CN" w:bidi="zh-CN"/>
    </w:rPr>
  </w:style>
  <w:style w:type="paragraph" w:styleId="5">
    <w:name w:val="heading 2"/>
    <w:basedOn w:val="1"/>
    <w:next w:val="1"/>
    <w:unhideWhenUsed/>
    <w:qFormat/>
    <w:uiPriority w:val="9"/>
    <w:pPr>
      <w:keepNext/>
      <w:keepLines/>
      <w:numPr>
        <w:ilvl w:val="1"/>
        <w:numId w:val="1"/>
      </w:numPr>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14"/>
    <w:qFormat/>
    <w:uiPriority w:val="0"/>
    <w:pPr>
      <w:autoSpaceDE w:val="0"/>
      <w:autoSpaceDN w:val="0"/>
      <w:ind w:firstLine="420" w:firstLineChars="100"/>
    </w:pPr>
    <w:rPr>
      <w:rFonts w:ascii="Calibri" w:hAnsi="Calibri" w:cs="Times New Roman"/>
      <w:sz w:val="21"/>
      <w:szCs w:val="24"/>
    </w:rPr>
  </w:style>
  <w:style w:type="paragraph" w:styleId="3">
    <w:name w:val="Body Text"/>
    <w:basedOn w:val="1"/>
    <w:next w:val="1"/>
    <w:link w:val="13"/>
    <w:semiHidden/>
    <w:unhideWhenUsed/>
    <w:qFormat/>
    <w:uiPriority w:val="99"/>
    <w:pPr>
      <w:autoSpaceDE/>
      <w:autoSpaceDN/>
      <w:spacing w:after="120"/>
      <w:jc w:val="both"/>
    </w:pPr>
    <w:rPr>
      <w:rFonts w:cstheme="minorBidi"/>
      <w:kern w:val="2"/>
      <w:sz w:val="24"/>
      <w:lang w:val="en-US" w:bidi="ar-SA"/>
    </w:rPr>
  </w:style>
  <w:style w:type="paragraph" w:styleId="4">
    <w:name w:val="Body Text Indent"/>
    <w:basedOn w:val="1"/>
    <w:link w:val="15"/>
    <w:unhideWhenUsed/>
    <w:qFormat/>
    <w:uiPriority w:val="99"/>
    <w:pPr>
      <w:autoSpaceDE/>
      <w:autoSpaceDN/>
      <w:spacing w:after="120"/>
      <w:ind w:left="420" w:leftChars="200"/>
      <w:jc w:val="both"/>
    </w:pPr>
    <w:rPr>
      <w:rFonts w:cstheme="minorBidi"/>
      <w:kern w:val="2"/>
      <w:sz w:val="24"/>
      <w:lang w:val="en-US" w:bidi="ar-SA"/>
    </w:rPr>
  </w:style>
  <w:style w:type="paragraph" w:styleId="6">
    <w:name w:val="annotation text"/>
    <w:basedOn w:val="1"/>
    <w:semiHidden/>
    <w:unhideWhenUsed/>
    <w:qFormat/>
    <w:uiPriority w:val="99"/>
  </w:style>
  <w:style w:type="paragraph" w:styleId="7">
    <w:name w:val="footer"/>
    <w:basedOn w:val="1"/>
    <w:link w:val="12"/>
    <w:unhideWhenUsed/>
    <w:qFormat/>
    <w:uiPriority w:val="99"/>
    <w:pPr>
      <w:tabs>
        <w:tab w:val="center" w:pos="4153"/>
        <w:tab w:val="right" w:pos="8306"/>
      </w:tabs>
      <w:autoSpaceDE/>
      <w:autoSpaceDN/>
      <w:snapToGrid w:val="0"/>
    </w:pPr>
    <w:rPr>
      <w:rFonts w:cstheme="minorBidi"/>
      <w:kern w:val="2"/>
      <w:sz w:val="18"/>
      <w:szCs w:val="18"/>
      <w:lang w:val="en-US" w:bidi="ar-SA"/>
    </w:rPr>
  </w:style>
  <w:style w:type="paragraph" w:styleId="8">
    <w:name w:val="header"/>
    <w:basedOn w:val="1"/>
    <w:link w:val="11"/>
    <w:unhideWhenUsed/>
    <w:qFormat/>
    <w:uiPriority w:val="99"/>
    <w:pPr>
      <w:tabs>
        <w:tab w:val="center" w:pos="4153"/>
        <w:tab w:val="right" w:pos="8306"/>
      </w:tabs>
      <w:autoSpaceDE/>
      <w:autoSpaceDN/>
      <w:snapToGrid w:val="0"/>
      <w:jc w:val="center"/>
    </w:pPr>
    <w:rPr>
      <w:rFonts w:cstheme="minorBidi"/>
      <w:kern w:val="2"/>
      <w:sz w:val="18"/>
      <w:szCs w:val="18"/>
      <w:lang w:val="en-US" w:bidi="ar-SA"/>
    </w:rPr>
  </w:style>
  <w:style w:type="character" w:customStyle="1" w:styleId="11">
    <w:name w:val="页眉 字符"/>
    <w:basedOn w:val="10"/>
    <w:link w:val="8"/>
    <w:qFormat/>
    <w:uiPriority w:val="99"/>
    <w:rPr>
      <w:sz w:val="18"/>
      <w:szCs w:val="18"/>
    </w:rPr>
  </w:style>
  <w:style w:type="character" w:customStyle="1" w:styleId="12">
    <w:name w:val="页脚 字符"/>
    <w:basedOn w:val="10"/>
    <w:link w:val="7"/>
    <w:qFormat/>
    <w:uiPriority w:val="99"/>
    <w:rPr>
      <w:sz w:val="18"/>
      <w:szCs w:val="18"/>
    </w:rPr>
  </w:style>
  <w:style w:type="character" w:customStyle="1" w:styleId="13">
    <w:name w:val="正文文本 字符"/>
    <w:basedOn w:val="10"/>
    <w:link w:val="3"/>
    <w:semiHidden/>
    <w:qFormat/>
    <w:uiPriority w:val="99"/>
  </w:style>
  <w:style w:type="character" w:customStyle="1" w:styleId="14">
    <w:name w:val="正文文本首行缩进 字符"/>
    <w:basedOn w:val="13"/>
    <w:link w:val="2"/>
    <w:qFormat/>
    <w:uiPriority w:val="0"/>
    <w:rPr>
      <w:rFonts w:ascii="Calibri" w:hAnsi="Calibri" w:cs="Times New Roman"/>
      <w:sz w:val="21"/>
      <w:szCs w:val="24"/>
    </w:rPr>
  </w:style>
  <w:style w:type="character" w:customStyle="1" w:styleId="15">
    <w:name w:val="正文文本缩进 字符"/>
    <w:basedOn w:val="10"/>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414</Words>
  <Characters>2364</Characters>
  <Lines>19</Lines>
  <Paragraphs>5</Paragraphs>
  <TotalTime>96</TotalTime>
  <ScaleCrop>false</ScaleCrop>
  <LinksUpToDate>false</LinksUpToDate>
  <CharactersWithSpaces>2773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2023-08-20T15:01:00Z</dcterms:created>
  <dc:creator>李兴光</dc:creator>
  <cp:lastModifiedBy>深圳市计算机学会</cp:lastModifiedBy>
  <dcterms:modified xsi:type="dcterms:W3CDTF">2023-08-23T07:54:08Z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20143A2CFEF54B04B9F6BDF16ABB1B9D_13</vt:lpwstr>
  </property>
</Properties>
</file>