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bdr w:val="none" w:color="auto" w:sz="0" w:space="0"/>
          <w:lang w:val="en-US" w:eastAsia="zh-CN" w:bidi="ar"/>
        </w:rPr>
      </w:pPr>
      <w:bookmarkStart w:id="0" w:name="_GoBack"/>
      <w:r>
        <w:rPr>
          <w:rFonts w:hint="eastAsia" w:ascii="方正小标宋_GBK" w:hAnsi="方正小标宋_GBK" w:eastAsia="方正小标宋_GBK" w:cs="方正小标宋_GBK"/>
          <w:kern w:val="0"/>
          <w:sz w:val="44"/>
          <w:szCs w:val="44"/>
          <w:bdr w:val="none" w:color="auto" w:sz="0" w:space="0"/>
          <w:lang w:val="en-US" w:eastAsia="zh-CN" w:bidi="ar"/>
        </w:rPr>
        <w:t>科技助力农业生产提质增效——人工智能赋能特色农业发展</w:t>
      </w:r>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319" w:leftChars="152" w:firstLine="640" w:firstLineChars="200"/>
        <w:jc w:val="left"/>
        <w:textAlignment w:val="auto"/>
        <w:rPr>
          <w:rFonts w:hint="eastAsia" w:ascii="仿宋_GB2312" w:hAnsi="仿宋_GB2312" w:eastAsia="仿宋_GB2312" w:cs="仿宋_GB2312"/>
          <w:kern w:val="0"/>
          <w:sz w:val="32"/>
          <w:szCs w:val="32"/>
          <w:bdr w:val="none" w:color="auto" w:sz="0" w:space="0"/>
          <w:lang w:val="en-US" w:eastAsia="zh-CN" w:bidi="ar"/>
        </w:rPr>
      </w:pPr>
      <w:r>
        <w:rPr>
          <w:rFonts w:hint="eastAsia" w:ascii="仿宋_GB2312" w:hAnsi="仿宋_GB2312" w:eastAsia="仿宋_GB2312" w:cs="仿宋_GB2312"/>
          <w:kern w:val="0"/>
          <w:sz w:val="32"/>
          <w:szCs w:val="32"/>
          <w:bdr w:val="none" w:color="auto" w:sz="0" w:space="0"/>
          <w:lang w:val="en-US" w:eastAsia="zh-CN" w:bidi="ar"/>
        </w:rPr>
        <w:t>这是一个数字化的时代。</w:t>
      </w:r>
    </w:p>
    <w:p>
      <w:pPr>
        <w:keepNext w:val="0"/>
        <w:keepLines w:val="0"/>
        <w:pageBreakBefore w:val="0"/>
        <w:widowControl/>
        <w:suppressLineNumbers w:val="0"/>
        <w:kinsoku/>
        <w:wordWrap/>
        <w:overflowPunct/>
        <w:topLinePunct w:val="0"/>
        <w:autoSpaceDE/>
        <w:autoSpaceDN/>
        <w:bidi w:val="0"/>
        <w:adjustRightInd/>
        <w:snapToGrid/>
        <w:spacing w:line="560" w:lineRule="exact"/>
        <w:ind w:left="319" w:leftChars="15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初秋的中卫，腾格里沙漠白云飘飘，黄沙闪闪。记者走进中国联通中卫云数据中心，只见一台台机柜闪烁着幽幽蓝光。“这里有上万台服务器在高速运行，环境纤尘不染，24小时享受‘空调’、永不断电，大数据的‘居住环境’是非常舒服的。”中国联通中卫云数据中心工作人员介绍，中国联通中卫云数据中心定位国内超大型智算中心和大数据存储交换中心，秉承“绿色、安全、智慧、生态、云网一体”的高标准建设理念，采用全新设计的自然新风冷却技术，数据中心能源效率PUE可低至1.1，达到国际领先水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然而，这不是个例。一个个数据中心在云基地拔地而起已成为常态，一个个技术赶超喜讯频频传出。近年来，中卫市把云计算和大数据产业作为“一号工程”全力推进，相继建成亚马逊、美利云等14个大型、超大型数据中心，机房总面积达到34万平方米，安装标准机柜5.7万个，平均PUE值低至1.1，集群资产规模近400亿元（含服务器），吸引美团、星际大陆、欢聚集团等200多家互联网及云计算大数据生态企业落地中卫，文化和旅游部、国家残疾人福利基金会等4000余家企事业单位提供海量存储和大数据计算服务，培育年收入上亿元的骨干企业7家，带动解决就业4000人以上。2023年上半年，全市信息传输、软件和信息技术服务业增加值增长33.2%，拉动GDP增长1.1个百分点，电信业务总量8.7亿元，同比增长47.4%，增速全区领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随着产业集聚，溢出效益逐步凸显。广电一期、电信一期、移动二期等11个项目开工建设，数字生态示范园基础设施、电信二期2个项目即将开工，中国能建正在开展项目选址等前期工作。美团国内70%非实时算力业务落在中卫，西云算力公司“企业算力渲染平台”上线测试，中国移动云“西部节点”、欢聚集团音视频、国家电子政务云西部节点上线运营。黄河云、苏宁云、闽宁云等宁夏“云品牌”影响力不断扩大。航天驭星商业卫星测控指挥中心累计为266颗商业卫星/火箭提供测控服务，北斗导航位置服务数据中心宁夏分中心投入使用，全球首个综合性遥感卫星定标场为商业卫星提供220余次定标试验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不仅如此，中卫“云”产业发展内外兼修，数字化赋能纵深推进、数字化治理成效显著、基础设施日趋完善，中卫“云”名片享誉全国，含金量越来越高。……从一个想法到一张图纸；从沙漠戈壁到西部云基地；从一路探寻摸索到未来可期的朝阳产业，成绩有目共睹！但大力发展云计算和大数据产业仍需爬坡。近日，我市印发的《关于加快建设产业转型升级示范市的实施方案（2023—2025年）》明确提出，我市以推动高质量发展为主题，以深化供给侧结构性改革为主线，不断培育壮大新兴产业，改造提升传统产业，逐步优化产业结构，并对大力发展云计算和大数据产业等工作进行了安排部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s>
  <w:rsids>
    <w:rsidRoot w:val="1A897B31"/>
    <w:rsid w:val="0B3864F3"/>
    <w:rsid w:val="1A8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2023-10-13T02:19:00Z</dcterms:created>
  <dc:creator>Administrator</dc:creator>
  <cp:lastModifiedBy>Administrator</cp:lastModifiedBy>
  <dcterms:modified xsi:type="dcterms:W3CDTF">2023-10-13T03:03:11Z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8A3F892D4EE34D1D946A51C52F972E74_11</vt:lpwstr>
  </property>
</Properties>
</file>