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color w:val="000000" w:themeColor="text1"/>
          <w:kern w:val="0"/>
          <w:sz w:val="36"/>
          <w:szCs w:val="36"/>
          <w:lang w:val="en-US" w:eastAsia="zh-CN"/>
          <w14:textFill>
            <w14:solidFill>
              <w14:schemeClr w14:val="tx1"/>
            </w14:solidFill>
          </w14:textFill>
        </w:rPr>
      </w:pPr>
      <w:r>
        <w:rPr>
          <w:rFonts w:hint="eastAsia" w:ascii="宋体" w:hAnsi="宋体" w:eastAsia="宋体" w:cs="宋体"/>
          <w:b/>
          <w:color w:val="000000" w:themeColor="text1"/>
          <w:kern w:val="0"/>
          <w:sz w:val="36"/>
          <w:szCs w:val="36"/>
          <w:lang w:val="en-US" w:eastAsia="zh-CN"/>
          <w14:textFill>
            <w14:solidFill>
              <w14:schemeClr w14:val="tx1"/>
            </w14:solidFill>
          </w14:textFill>
        </w:rPr>
        <w:t>中国登山协会 中国体育科学学会团体标准</w:t>
      </w:r>
    </w:p>
    <w:p>
      <w:pPr>
        <w:widowControl/>
        <w:jc w:val="center"/>
        <w:rPr>
          <w:rFonts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《青少年户外营地等级划分及评定》编制说明</w:t>
      </w:r>
    </w:p>
    <w:p>
      <w:pPr>
        <w:widowControl/>
        <w:rPr>
          <w:rFonts w:ascii="宋体" w:hAnsi="宋体" w:eastAsia="宋体" w:cs="宋体"/>
          <w:b/>
          <w:color w:val="000000" w:themeColor="text1"/>
          <w:kern w:val="0"/>
          <w:sz w:val="36"/>
          <w:szCs w:val="36"/>
          <w14:textFill>
            <w14:solidFill>
              <w14:schemeClr w14:val="tx1"/>
            </w14:solidFill>
          </w14:textFill>
        </w:rPr>
      </w:pPr>
    </w:p>
    <w:p>
      <w:pPr>
        <w:pStyle w:val="5"/>
        <w:widowControl/>
        <w:numPr>
          <w:ilvl w:val="0"/>
          <w:numId w:val="1"/>
        </w:numPr>
        <w:shd w:val="clear" w:color="auto" w:fill="FFFFFF"/>
        <w:spacing w:beforeAutospacing="0" w:afterAutospacing="0"/>
        <w:jc w:val="both"/>
        <w:rPr>
          <w:rFonts w:ascii="黑体" w:hAnsi="黑体" w:eastAsia="黑体" w:cs="黑体"/>
          <w:b/>
          <w:bCs/>
          <w:color w:val="000000" w:themeColor="text1"/>
          <w:sz w:val="28"/>
          <w:szCs w:val="28"/>
          <w:shd w:val="clear" w:color="auto" w:fill="FFFFFF"/>
          <w14:textFill>
            <w14:solidFill>
              <w14:schemeClr w14:val="tx1"/>
            </w14:solidFill>
          </w14:textFill>
        </w:rPr>
      </w:pPr>
      <w:r>
        <w:rPr>
          <w:rFonts w:hint="eastAsia" w:ascii="黑体" w:hAnsi="黑体" w:eastAsia="黑体" w:cs="黑体"/>
          <w:b/>
          <w:bCs/>
          <w:color w:val="000000" w:themeColor="text1"/>
          <w:sz w:val="28"/>
          <w:szCs w:val="28"/>
          <w:shd w:val="clear" w:color="auto" w:fill="FFFFFF"/>
          <w14:textFill>
            <w14:solidFill>
              <w14:schemeClr w14:val="tx1"/>
            </w14:solidFill>
          </w14:textFill>
        </w:rPr>
        <w:t>工作简况</w:t>
      </w:r>
    </w:p>
    <w:p>
      <w:pPr>
        <w:pStyle w:val="5"/>
        <w:widowControl/>
        <w:numPr>
          <w:ilvl w:val="0"/>
          <w:numId w:val="2"/>
        </w:numPr>
        <w:shd w:val="clear" w:color="auto" w:fill="FFFFFF"/>
        <w:spacing w:beforeAutospacing="0" w:afterAutospacing="0"/>
        <w:jc w:val="both"/>
        <w:rPr>
          <w:rFonts w:ascii="黑体" w:hAnsi="黑体" w:eastAsia="黑体" w:cs="黑体"/>
          <w:b/>
          <w:bCs/>
          <w:color w:val="000000" w:themeColor="text1"/>
          <w:sz w:val="28"/>
          <w:szCs w:val="28"/>
          <w:shd w:val="clear" w:color="auto" w:fill="FFFFFF"/>
          <w14:textFill>
            <w14:solidFill>
              <w14:schemeClr w14:val="tx1"/>
            </w14:solidFill>
          </w14:textFill>
        </w:rPr>
      </w:pPr>
      <w:r>
        <w:rPr>
          <w:rFonts w:hint="eastAsia" w:ascii="黑体" w:hAnsi="黑体" w:eastAsia="黑体" w:cs="黑体"/>
          <w:b/>
          <w:bCs/>
          <w:color w:val="000000" w:themeColor="text1"/>
          <w:sz w:val="28"/>
          <w:szCs w:val="28"/>
          <w:shd w:val="clear" w:color="auto" w:fill="FFFFFF"/>
          <w14:textFill>
            <w14:solidFill>
              <w14:schemeClr w14:val="tx1"/>
            </w14:solidFill>
          </w14:textFill>
        </w:rPr>
        <w:t>任务来源、制定背景</w:t>
      </w:r>
    </w:p>
    <w:p>
      <w:pPr>
        <w:pStyle w:val="5"/>
        <w:widowControl/>
        <w:numPr>
          <w:ilvl w:val="0"/>
          <w:numId w:val="3"/>
        </w:numPr>
        <w:shd w:val="clear" w:color="auto" w:fill="FFFFFF"/>
        <w:spacing w:beforeAutospacing="0" w:afterAutospacing="0"/>
        <w:ind w:left="0" w:firstLine="560" w:firstLineChars="200"/>
        <w:jc w:val="both"/>
        <w:rPr>
          <w:rFonts w:ascii="宋体" w:hAnsi="宋体" w:eastAsia="宋体" w:cs="宋体"/>
          <w:color w:val="000000" w:themeColor="text1"/>
          <w:kern w:val="2"/>
          <w:sz w:val="28"/>
          <w:szCs w:val="28"/>
          <w:shd w:val="clear" w:color="auto" w:fill="FFFFFF"/>
          <w14:textFill>
            <w14:solidFill>
              <w14:schemeClr w14:val="tx1"/>
            </w14:solidFill>
          </w14:textFill>
        </w:rPr>
      </w:pPr>
      <w:r>
        <w:rPr>
          <w:rFonts w:ascii="宋体" w:hAnsi="宋体" w:eastAsia="宋体" w:cs="宋体"/>
          <w:color w:val="000000" w:themeColor="text1"/>
          <w:kern w:val="2"/>
          <w:sz w:val="28"/>
          <w:szCs w:val="28"/>
          <w:shd w:val="clear" w:color="auto" w:fill="FFFFFF"/>
          <w14:textFill>
            <w14:solidFill>
              <w14:schemeClr w14:val="tx1"/>
            </w14:solidFill>
          </w14:textFill>
        </w:rPr>
        <w:t>2016</w:t>
      </w:r>
      <w:r>
        <w:rPr>
          <w:rFonts w:hint="eastAsia" w:ascii="宋体" w:hAnsi="宋体" w:eastAsia="宋体" w:cs="宋体"/>
          <w:color w:val="000000" w:themeColor="text1"/>
          <w:kern w:val="2"/>
          <w:sz w:val="28"/>
          <w:szCs w:val="28"/>
          <w:shd w:val="clear" w:color="auto" w:fill="FFFFFF"/>
          <w14:textFill>
            <w14:solidFill>
              <w14:schemeClr w14:val="tx1"/>
            </w14:solidFill>
          </w14:textFill>
        </w:rPr>
        <w:t>年，受国家体育总局青少司委托，中国登山协会启动了《全国青少年户外体育活动营地等级评定办法及细则》的编制工作。2</w:t>
      </w:r>
      <w:r>
        <w:rPr>
          <w:rFonts w:ascii="宋体" w:hAnsi="宋体" w:eastAsia="宋体" w:cs="宋体"/>
          <w:color w:val="000000" w:themeColor="text1"/>
          <w:kern w:val="2"/>
          <w:sz w:val="28"/>
          <w:szCs w:val="28"/>
          <w:shd w:val="clear" w:color="auto" w:fill="FFFFFF"/>
          <w14:textFill>
            <w14:solidFill>
              <w14:schemeClr w14:val="tx1"/>
            </w14:solidFill>
          </w14:textFill>
        </w:rPr>
        <w:t>019</w:t>
      </w:r>
      <w:r>
        <w:rPr>
          <w:rFonts w:hint="eastAsia" w:ascii="宋体" w:hAnsi="宋体" w:eastAsia="宋体" w:cs="宋体"/>
          <w:color w:val="000000" w:themeColor="text1"/>
          <w:kern w:val="2"/>
          <w:sz w:val="28"/>
          <w:szCs w:val="28"/>
          <w:shd w:val="clear" w:color="auto" w:fill="FFFFFF"/>
          <w14:textFill>
            <w14:solidFill>
              <w14:schemeClr w14:val="tx1"/>
            </w14:solidFill>
          </w14:textFill>
        </w:rPr>
        <w:t>年完成了征求意见稿的编制并在全国6个省市开展了测评工作。后由于新冠疫情等原因，此项工作暂停了3年，行业也发生了巨大变化，原有文件在内容设定、评定流程等方面都需要大幅调整，并根据行业发展现状重新编制。</w:t>
      </w:r>
    </w:p>
    <w:p>
      <w:pPr>
        <w:pStyle w:val="5"/>
        <w:widowControl/>
        <w:numPr>
          <w:ilvl w:val="0"/>
          <w:numId w:val="3"/>
        </w:numPr>
        <w:shd w:val="clear" w:color="auto" w:fill="FFFFFF"/>
        <w:spacing w:beforeAutospacing="0" w:afterAutospacing="0"/>
        <w:ind w:left="0" w:firstLine="560" w:firstLineChars="200"/>
        <w:jc w:val="both"/>
        <w:rPr>
          <w:rFonts w:ascii="宋体" w:hAnsi="宋体" w:eastAsia="宋体" w:cs="宋体"/>
          <w:color w:val="000000" w:themeColor="text1"/>
          <w:kern w:val="2"/>
          <w:sz w:val="28"/>
          <w:szCs w:val="28"/>
          <w:shd w:val="clear" w:color="auto" w:fill="FFFFFF"/>
          <w14:textFill>
            <w14:solidFill>
              <w14:schemeClr w14:val="tx1"/>
            </w14:solidFill>
          </w14:textFill>
        </w:rPr>
      </w:pPr>
      <w:r>
        <w:rPr>
          <w:rFonts w:hint="eastAsia" w:ascii="宋体" w:hAnsi="宋体" w:eastAsia="宋体" w:cs="宋体"/>
          <w:color w:val="000000" w:themeColor="text1"/>
          <w:kern w:val="2"/>
          <w:sz w:val="28"/>
          <w:szCs w:val="28"/>
          <w:shd w:val="clear" w:color="auto" w:fill="FFFFFF"/>
          <w14:textFill>
            <w14:solidFill>
              <w14:schemeClr w14:val="tx1"/>
            </w14:solidFill>
          </w14:textFill>
        </w:rPr>
        <w:t>为贯彻落实《“十四五”体育发展规划》《户外运动产业发展规划</w:t>
      </w:r>
      <w:r>
        <w:rPr>
          <w:rFonts w:hint="default" w:ascii="宋体" w:hAnsi="宋体" w:eastAsia="宋体" w:cs="宋体"/>
          <w:color w:val="000000" w:themeColor="text1"/>
          <w:kern w:val="2"/>
          <w:sz w:val="28"/>
          <w:szCs w:val="28"/>
          <w:shd w:val="clear" w:color="auto" w:fill="FFFFFF"/>
          <w:lang w:val="en-US"/>
          <w14:textFill>
            <w14:solidFill>
              <w14:schemeClr w14:val="tx1"/>
            </w14:solidFill>
          </w14:textFill>
        </w:rPr>
        <w:t>(</w:t>
      </w:r>
      <w:r>
        <w:rPr>
          <w:rFonts w:hint="eastAsia" w:ascii="宋体" w:hAnsi="宋体" w:eastAsia="宋体" w:cs="宋体"/>
          <w:color w:val="000000" w:themeColor="text1"/>
          <w:kern w:val="2"/>
          <w:sz w:val="28"/>
          <w:szCs w:val="28"/>
          <w:shd w:val="clear" w:color="auto" w:fill="FFFFFF"/>
          <w14:textFill>
            <w14:solidFill>
              <w14:schemeClr w14:val="tx1"/>
            </w14:solidFill>
          </w14:textFill>
        </w:rPr>
        <w:t>2022-2025年</w:t>
      </w:r>
      <w:r>
        <w:rPr>
          <w:rFonts w:hint="default" w:ascii="宋体" w:hAnsi="宋体" w:eastAsia="宋体" w:cs="宋体"/>
          <w:color w:val="000000" w:themeColor="text1"/>
          <w:kern w:val="2"/>
          <w:sz w:val="28"/>
          <w:szCs w:val="28"/>
          <w:shd w:val="clear" w:color="auto" w:fill="FFFFFF"/>
          <w:lang w:val="en-US"/>
          <w14:textFill>
            <w14:solidFill>
              <w14:schemeClr w14:val="tx1"/>
            </w14:solidFill>
          </w14:textFill>
        </w:rPr>
        <w:t>)</w:t>
      </w:r>
      <w:r>
        <w:rPr>
          <w:rFonts w:hint="eastAsia" w:ascii="宋体" w:hAnsi="宋体" w:eastAsia="宋体" w:cs="宋体"/>
          <w:color w:val="000000" w:themeColor="text1"/>
          <w:kern w:val="2"/>
          <w:sz w:val="28"/>
          <w:szCs w:val="28"/>
          <w:shd w:val="clear" w:color="auto" w:fill="FFFFFF"/>
          <w14:textFill>
            <w14:solidFill>
              <w14:schemeClr w14:val="tx1"/>
            </w14:solidFill>
          </w14:textFill>
        </w:rPr>
        <w:t>》等文件要求，秉承“服务、引导、规范”的工作方针，制订《青少年户外营地等级划分及评定》团体标准计划，以规范全国青少年户外营地的建设和运营，满足场地设施需求，促进青少年健康成长，推动青少年户外运动全面高质量发展。</w:t>
      </w:r>
    </w:p>
    <w:p>
      <w:pPr>
        <w:pStyle w:val="5"/>
        <w:widowControl/>
        <w:numPr>
          <w:ilvl w:val="0"/>
          <w:numId w:val="3"/>
        </w:numPr>
        <w:shd w:val="clear" w:color="auto" w:fill="FFFFFF"/>
        <w:spacing w:beforeAutospacing="0" w:afterAutospacing="0"/>
        <w:ind w:left="0" w:firstLine="560" w:firstLineChars="200"/>
        <w:jc w:val="both"/>
        <w:rPr>
          <w:rFonts w:ascii="宋体" w:hAnsi="宋体" w:eastAsia="宋体" w:cs="宋体"/>
          <w:color w:val="000000" w:themeColor="text1"/>
          <w:kern w:val="2"/>
          <w:sz w:val="28"/>
          <w:szCs w:val="28"/>
          <w:shd w:val="clear" w:color="auto" w:fill="FFFFFF"/>
          <w14:textFill>
            <w14:solidFill>
              <w14:schemeClr w14:val="tx1"/>
            </w14:solidFill>
          </w14:textFill>
        </w:rPr>
      </w:pPr>
      <w:r>
        <w:rPr>
          <w:rFonts w:hint="eastAsia" w:ascii="宋体" w:hAnsi="宋体" w:eastAsia="宋体" w:cs="宋体"/>
          <w:color w:val="000000" w:themeColor="text1"/>
          <w:kern w:val="2"/>
          <w:sz w:val="28"/>
          <w:szCs w:val="28"/>
          <w:shd w:val="clear" w:color="auto" w:fill="FFFFFF"/>
          <w14:textFill>
            <w14:solidFill>
              <w14:schemeClr w14:val="tx1"/>
            </w14:solidFill>
          </w14:textFill>
        </w:rPr>
        <w:t>《青少年户外营地等级划分及评定》在中国体育科学学会团体标准制定计划中列入学会团体标准制定计划，项目编号为CSSS-2023-027。</w:t>
      </w:r>
    </w:p>
    <w:p>
      <w:pPr>
        <w:pStyle w:val="5"/>
        <w:widowControl/>
        <w:numPr>
          <w:ilvl w:val="0"/>
          <w:numId w:val="2"/>
        </w:numPr>
        <w:shd w:val="clear" w:color="auto" w:fill="FFFFFF"/>
        <w:spacing w:beforeAutospacing="0" w:afterAutospacing="0"/>
        <w:jc w:val="both"/>
        <w:rPr>
          <w:rFonts w:ascii="黑体" w:hAnsi="黑体" w:eastAsia="黑体" w:cs="黑体"/>
          <w:b/>
          <w:bCs/>
          <w:color w:val="000000" w:themeColor="text1"/>
          <w:sz w:val="28"/>
          <w:szCs w:val="28"/>
          <w:shd w:val="clear" w:color="auto" w:fill="FFFFFF"/>
          <w14:textFill>
            <w14:solidFill>
              <w14:schemeClr w14:val="tx1"/>
            </w14:solidFill>
          </w14:textFill>
        </w:rPr>
      </w:pPr>
      <w:r>
        <w:rPr>
          <w:rFonts w:hint="eastAsia" w:ascii="黑体" w:hAnsi="黑体" w:eastAsia="黑体" w:cs="黑体"/>
          <w:b/>
          <w:bCs/>
          <w:color w:val="000000" w:themeColor="text1"/>
          <w:sz w:val="28"/>
          <w:szCs w:val="28"/>
          <w:shd w:val="clear" w:color="auto" w:fill="FFFFFF"/>
          <w14:textFill>
            <w14:solidFill>
              <w14:schemeClr w14:val="tx1"/>
            </w14:solidFill>
          </w14:textFill>
        </w:rPr>
        <w:t>起草人员及其所在单位</w:t>
      </w:r>
    </w:p>
    <w:p>
      <w:pPr>
        <w:pStyle w:val="5"/>
        <w:widowControl/>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bookmarkStart w:id="0" w:name="_Hlk151134745"/>
      <w:r>
        <w:rPr>
          <w:rFonts w:hint="eastAsia" w:ascii="宋体" w:hAnsi="宋体" w:eastAsia="宋体" w:cs="宋体"/>
          <w:color w:val="000000" w:themeColor="text1"/>
          <w:sz w:val="28"/>
          <w:szCs w:val="28"/>
          <w:shd w:val="clear" w:color="auto" w:fill="FFFFFF"/>
          <w14:textFill>
            <w14:solidFill>
              <w14:schemeClr w14:val="tx1"/>
            </w14:solidFill>
          </w14:textFill>
        </w:rPr>
        <w:t>本标准的起草单位为：国家体育总局登山运动管理中心、国家体育总局体育科学研究所、中国登山协会、中国地质大学（武汉）体育学院等。</w:t>
      </w:r>
    </w:p>
    <w:bookmarkEnd w:id="0"/>
    <w:p>
      <w:pPr>
        <w:pStyle w:val="5"/>
        <w:widowControl/>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本标准的主要起草人为：</w:t>
      </w:r>
      <w:bookmarkStart w:id="1" w:name="_Hlk151134761"/>
      <w:r>
        <w:rPr>
          <w:rFonts w:hint="eastAsia" w:ascii="宋体" w:hAnsi="宋体" w:eastAsia="宋体" w:cs="宋体"/>
          <w:color w:val="000000" w:themeColor="text1"/>
          <w:sz w:val="28"/>
          <w:szCs w:val="28"/>
          <w:shd w:val="clear" w:color="auto" w:fill="FFFFFF"/>
          <w14:textFill>
            <w14:solidFill>
              <w14:schemeClr w14:val="tx1"/>
            </w14:solidFill>
          </w14:textFill>
        </w:rPr>
        <w:t>丁祥华、赵佳明、陈岳峰、</w:t>
      </w:r>
      <w:bookmarkStart w:id="2" w:name="_Hlk158126785"/>
      <w:r>
        <w:rPr>
          <w:rFonts w:hint="eastAsia" w:ascii="宋体" w:hAnsi="宋体" w:eastAsia="宋体" w:cs="宋体"/>
          <w:color w:val="000000" w:themeColor="text1"/>
          <w:sz w:val="28"/>
          <w:szCs w:val="28"/>
          <w:shd w:val="clear" w:color="auto" w:fill="FFFFFF"/>
          <w14:textFill>
            <w14:solidFill>
              <w14:schemeClr w14:val="tx1"/>
            </w14:solidFill>
          </w14:textFill>
        </w:rPr>
        <w:t>黄希发、杨玮、洪扬、</w:t>
      </w:r>
      <w:bookmarkEnd w:id="2"/>
      <w:r>
        <w:rPr>
          <w:rFonts w:hint="eastAsia" w:ascii="宋体" w:hAnsi="宋体" w:eastAsia="宋体" w:cs="宋体"/>
          <w:color w:val="000000" w:themeColor="text1"/>
          <w:sz w:val="28"/>
          <w:szCs w:val="28"/>
          <w:shd w:val="clear" w:color="auto" w:fill="FFFFFF"/>
          <w14:textFill>
            <w14:solidFill>
              <w14:schemeClr w14:val="tx1"/>
            </w14:solidFill>
          </w14:textFill>
        </w:rPr>
        <w:t>李元、张毅恒、方银、姬庆、胡国强、唐家晨、徐杰忠、毛蕾、徐泽意、尹一航等。</w:t>
      </w:r>
    </w:p>
    <w:bookmarkEnd w:id="1"/>
    <w:p>
      <w:pPr>
        <w:pStyle w:val="5"/>
        <w:widowControl/>
        <w:numPr>
          <w:ilvl w:val="0"/>
          <w:numId w:val="2"/>
        </w:numPr>
        <w:shd w:val="clear" w:color="auto" w:fill="FFFFFF"/>
        <w:spacing w:beforeAutospacing="0" w:afterAutospacing="0"/>
        <w:jc w:val="both"/>
        <w:rPr>
          <w:rFonts w:ascii="黑体" w:hAnsi="黑体" w:eastAsia="黑体" w:cs="黑体"/>
          <w:b/>
          <w:bCs/>
          <w:color w:val="000000" w:themeColor="text1"/>
          <w:sz w:val="28"/>
          <w:szCs w:val="28"/>
          <w:shd w:val="clear" w:color="auto" w:fill="FFFFFF"/>
          <w14:textFill>
            <w14:solidFill>
              <w14:schemeClr w14:val="tx1"/>
            </w14:solidFill>
          </w14:textFill>
        </w:rPr>
      </w:pPr>
      <w:r>
        <w:rPr>
          <w:rFonts w:hint="eastAsia" w:ascii="黑体" w:hAnsi="黑体" w:eastAsia="黑体" w:cs="黑体"/>
          <w:b/>
          <w:bCs/>
          <w:color w:val="000000" w:themeColor="text1"/>
          <w:sz w:val="28"/>
          <w:szCs w:val="28"/>
          <w:shd w:val="clear" w:color="auto" w:fill="FFFFFF"/>
          <w14:textFill>
            <w14:solidFill>
              <w14:schemeClr w14:val="tx1"/>
            </w14:solidFill>
          </w14:textFill>
        </w:rPr>
        <w:t>主要工作过程</w:t>
      </w:r>
    </w:p>
    <w:p>
      <w:pPr>
        <w:numPr>
          <w:ilvl w:val="0"/>
          <w:numId w:val="4"/>
        </w:num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预研阶段</w:t>
      </w:r>
    </w:p>
    <w:p>
      <w:pPr>
        <w:pStyle w:val="5"/>
        <w:widowControl/>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color w:val="000000" w:themeColor="text1"/>
          <w:sz w:val="28"/>
          <w:szCs w:val="28"/>
          <w14:textFill>
            <w14:solidFill>
              <w14:schemeClr w14:val="tx1"/>
            </w14:solidFill>
          </w14:textFill>
        </w:rPr>
        <w:t>首先，于2019年启动了等级标准起草的筹备工作，并在北京、福州、贵州等开展了预调研。</w:t>
      </w:r>
      <w:r>
        <w:rPr>
          <w:rFonts w:hint="eastAsia" w:ascii="宋体" w:hAnsi="宋体" w:eastAsia="宋体" w:cs="宋体"/>
          <w:color w:val="000000" w:themeColor="text1"/>
          <w:sz w:val="28"/>
          <w:szCs w:val="28"/>
          <w:shd w:val="clear" w:color="auto" w:fill="FFFFFF"/>
          <w14:textFill>
            <w14:solidFill>
              <w14:schemeClr w14:val="tx1"/>
            </w14:solidFill>
          </w14:textFill>
        </w:rPr>
        <w:t>2023年4月正式成立标准起草组。起草单位选拔了一批理论基础强、实践经历丰富的人员成立标准起草组，并拟定工作计划和组员任务划分。起草组广泛收集国内政策文件、相关报道、学术文献等资料，清晰标准制定背景和明确相关概念，剖析我国青少年户外营地机构的发展情况，为标准制定提供理论依据和必要性说明。</w:t>
      </w:r>
    </w:p>
    <w:p>
      <w:pPr>
        <w:pStyle w:val="5"/>
        <w:widowControl/>
        <w:shd w:val="clear" w:color="auto" w:fill="FFFFFF"/>
        <w:spacing w:beforeAutospacing="0" w:afterAutospacing="0"/>
        <w:ind w:firstLine="560" w:firstLineChars="200"/>
        <w:jc w:val="both"/>
        <w:rPr>
          <w:rFonts w:ascii="宋体" w:hAnsi="宋体" w:eastAsia="宋体" w:cs="宋体"/>
          <w:color w:val="auto"/>
          <w:sz w:val="28"/>
          <w:szCs w:val="28"/>
          <w:shd w:val="clear" w:color="auto" w:fill="FFFFFF"/>
        </w:rPr>
      </w:pPr>
      <w:r>
        <w:rPr>
          <w:rFonts w:hint="eastAsia" w:ascii="宋体" w:hAnsi="宋体" w:eastAsia="宋体" w:cs="宋体"/>
          <w:color w:val="000000" w:themeColor="text1"/>
          <w:sz w:val="28"/>
          <w:szCs w:val="28"/>
          <w:shd w:val="clear" w:color="auto" w:fill="FFFFFF"/>
          <w14:textFill>
            <w14:solidFill>
              <w14:schemeClr w14:val="tx1"/>
            </w14:solidFill>
          </w14:textFill>
        </w:rPr>
        <w:t>其次，于2023年4月-6月开展行业调研工作。起草组选择了一批具有较好口碑和</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较大</w:t>
      </w:r>
      <w:r>
        <w:rPr>
          <w:rFonts w:hint="eastAsia" w:ascii="宋体" w:hAnsi="宋体" w:eastAsia="宋体" w:cs="宋体"/>
          <w:color w:val="000000" w:themeColor="text1"/>
          <w:sz w:val="28"/>
          <w:szCs w:val="28"/>
          <w:shd w:val="clear" w:color="auto" w:fill="FFFFFF"/>
          <w14:textFill>
            <w14:solidFill>
              <w14:schemeClr w14:val="tx1"/>
            </w14:solidFill>
          </w14:textFill>
        </w:rPr>
        <w:t>行业影响力的青少年户外营地进行实地调研，通过与其管理层及其他工作人员沟通交流等形式，对各青少年户外营地基础设施、运营情况、人员配备、安全卫生保障等方面进行了全方位的深入了解，找出了当前阻碍青少年户外营地发展的现实问题，并据此形成了调研</w:t>
      </w:r>
      <w:r>
        <w:rPr>
          <w:rFonts w:hint="eastAsia" w:ascii="宋体" w:hAnsi="宋体" w:eastAsia="宋体" w:cs="宋体"/>
          <w:color w:val="auto"/>
          <w:sz w:val="28"/>
          <w:szCs w:val="28"/>
          <w:shd w:val="clear" w:color="auto" w:fill="FFFFFF"/>
        </w:rPr>
        <w:t>报告，完成了标准草案</w:t>
      </w:r>
      <w:r>
        <w:rPr>
          <w:rFonts w:hint="eastAsia" w:ascii="宋体" w:hAnsi="宋体" w:eastAsia="宋体" w:cs="宋体"/>
          <w:color w:val="auto"/>
          <w:sz w:val="28"/>
          <w:szCs w:val="28"/>
          <w:shd w:val="clear" w:color="auto" w:fill="FFFFFF"/>
          <w:lang w:val="en-US" w:eastAsia="zh-CN"/>
        </w:rPr>
        <w:t>和立项申报书</w:t>
      </w:r>
      <w:bookmarkStart w:id="3" w:name="_GoBack"/>
      <w:bookmarkEnd w:id="3"/>
      <w:r>
        <w:rPr>
          <w:rFonts w:hint="eastAsia" w:ascii="宋体" w:hAnsi="宋体" w:eastAsia="宋体" w:cs="宋体"/>
          <w:color w:val="auto"/>
          <w:sz w:val="28"/>
          <w:szCs w:val="28"/>
          <w:shd w:val="clear" w:color="auto" w:fill="FFFFFF"/>
        </w:rPr>
        <w:t>。</w:t>
      </w:r>
    </w:p>
    <w:p>
      <w:pPr>
        <w:numPr>
          <w:ilvl w:val="0"/>
          <w:numId w:val="4"/>
        </w:numPr>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立项阶段</w:t>
      </w:r>
    </w:p>
    <w:p>
      <w:pPr>
        <w:numPr>
          <w:ilvl w:val="-1"/>
          <w:numId w:val="0"/>
        </w:numPr>
        <w:ind w:firstLine="0" w:firstLineChars="0"/>
        <w:rPr>
          <w:rFonts w:hint="default"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auto"/>
          <w:sz w:val="28"/>
          <w:szCs w:val="28"/>
          <w:lang w:val="en-US" w:eastAsia="zh-CN"/>
        </w:rPr>
        <w:t xml:space="preserve">    </w:t>
      </w:r>
      <w:r>
        <w:rPr>
          <w:rFonts w:hint="eastAsia" w:cs="黑体" w:asciiTheme="minorEastAsia" w:hAnsiTheme="minorEastAsia"/>
          <w:color w:val="auto"/>
          <w:sz w:val="28"/>
          <w:szCs w:val="28"/>
          <w:highlight w:val="none"/>
          <w:shd w:val="clear" w:color="auto" w:fill="FFFFFF"/>
          <w:lang w:val="en-US" w:eastAsia="zh-CN"/>
        </w:rPr>
        <w:t>2023年4月，起草组向中国</w:t>
      </w:r>
      <w:r>
        <w:rPr>
          <w:rFonts w:hint="eastAsia" w:cs="黑体" w:asciiTheme="minorEastAsia" w:hAnsiTheme="minorEastAsia"/>
          <w:color w:val="000000" w:themeColor="text1"/>
          <w:sz w:val="28"/>
          <w:szCs w:val="28"/>
          <w:highlight w:val="none"/>
          <w:shd w:val="clear" w:color="auto" w:fill="FFFFFF"/>
          <w:lang w:val="en-US" w:eastAsia="zh-CN"/>
          <w14:textFill>
            <w14:solidFill>
              <w14:schemeClr w14:val="tx1"/>
            </w14:solidFill>
          </w14:textFill>
        </w:rPr>
        <w:t>体育科学学会标准化工作委员会提交《</w:t>
      </w:r>
      <w:r>
        <w:rPr>
          <w:rFonts w:hint="eastAsia" w:cs="黑体" w:asciiTheme="minorEastAsia" w:hAnsiTheme="minorEastAsia" w:eastAsiaTheme="minorEastAsia"/>
          <w:i w:val="0"/>
          <w:iCs w:val="0"/>
          <w:caps w:val="0"/>
          <w:color w:val="000000" w:themeColor="text1"/>
          <w:spacing w:val="0"/>
          <w:sz w:val="28"/>
          <w:szCs w:val="28"/>
          <w:highlight w:val="none"/>
          <w:shd w:val="clear" w:color="auto" w:fill="FFFFFF"/>
          <w14:textFill>
            <w14:solidFill>
              <w14:schemeClr w14:val="tx1"/>
            </w14:solidFill>
          </w14:textFill>
        </w:rPr>
        <w:t>青少年户外营地等级划分及评定</w:t>
      </w:r>
      <w:r>
        <w:rPr>
          <w:rFonts w:hint="eastAsia" w:cs="黑体" w:asciiTheme="minorEastAsia" w:hAnsiTheme="minorEastAsia"/>
          <w:color w:val="000000" w:themeColor="text1"/>
          <w:sz w:val="28"/>
          <w:szCs w:val="28"/>
          <w:highlight w:val="none"/>
          <w:shd w:val="clear" w:color="auto" w:fill="FFFFFF"/>
          <w:lang w:val="en-US" w:eastAsia="zh-CN"/>
          <w14:textFill>
            <w14:solidFill>
              <w14:schemeClr w14:val="tx1"/>
            </w14:solidFill>
          </w14:textFill>
        </w:rPr>
        <w:t>》的立项材料，2023年5月24日，中国体育科学学会发布标准立项通知，标准计划编号为</w:t>
      </w:r>
      <w:r>
        <w:rPr>
          <w:rFonts w:hint="eastAsia" w:cs="黑体" w:asciiTheme="minorEastAsia" w:hAnsiTheme="minorEastAsia" w:eastAsiaTheme="minorEastAsia"/>
          <w:i w:val="0"/>
          <w:iCs w:val="0"/>
          <w:caps w:val="0"/>
          <w:color w:val="000000" w:themeColor="text1"/>
          <w:spacing w:val="0"/>
          <w:sz w:val="28"/>
          <w:szCs w:val="28"/>
          <w:highlight w:val="none"/>
          <w:shd w:val="clear" w:color="auto" w:fill="FFFFFF"/>
          <w14:textFill>
            <w14:solidFill>
              <w14:schemeClr w14:val="tx1"/>
            </w14:solidFill>
          </w14:textFill>
        </w:rPr>
        <w:t>CSSS-2023-02</w:t>
      </w:r>
      <w:r>
        <w:rPr>
          <w:rFonts w:hint="eastAsia" w:cs="黑体" w:asciiTheme="minorEastAsia" w:hAnsiTheme="minorEastAsia"/>
          <w:i w:val="0"/>
          <w:iCs w:val="0"/>
          <w:caps w:val="0"/>
          <w:color w:val="000000" w:themeColor="text1"/>
          <w:spacing w:val="0"/>
          <w:sz w:val="28"/>
          <w:szCs w:val="28"/>
          <w:highlight w:val="none"/>
          <w:shd w:val="clear" w:color="auto" w:fill="FFFFFF"/>
          <w:lang w:eastAsia="zh-CN"/>
          <w14:textFill>
            <w14:solidFill>
              <w14:schemeClr w14:val="tx1"/>
            </w14:solidFill>
          </w14:textFill>
        </w:rPr>
        <w:t>7。</w:t>
      </w:r>
    </w:p>
    <w:p>
      <w:pPr>
        <w:numPr>
          <w:ilvl w:val="0"/>
          <w:numId w:val="4"/>
        </w:num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起草阶段</w:t>
      </w:r>
    </w:p>
    <w:p>
      <w:pPr>
        <w:pStyle w:val="5"/>
        <w:widowControl/>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起草组结合GB/T 1.1—2020《标准化工作导则  第1部分：标准化文件的结构和起草规则》《标准化文件的起草》书籍和前期调研资料对标准草案进行完善，并组织相关领域专家开展标准研讨会，对</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标准</w:t>
      </w:r>
      <w:r>
        <w:rPr>
          <w:rFonts w:hint="eastAsia" w:ascii="宋体" w:hAnsi="宋体" w:eastAsia="宋体" w:cs="宋体"/>
          <w:color w:val="000000" w:themeColor="text1"/>
          <w:sz w:val="28"/>
          <w:szCs w:val="28"/>
          <w:shd w:val="clear" w:color="auto" w:fill="FFFFFF"/>
          <w14:textFill>
            <w14:solidFill>
              <w14:schemeClr w14:val="tx1"/>
            </w14:solidFill>
          </w14:textFill>
        </w:rPr>
        <w:t>草案中的具体内容及评分细则进行讨论，以获得专家团队的意见</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14:textFill>
            <w14:solidFill>
              <w14:schemeClr w14:val="tx1"/>
            </w14:solidFill>
          </w14:textFill>
        </w:rPr>
        <w:t>为进一步修改提供参考，整个过程保持与中国登山协会的沟通交流</w:t>
      </w:r>
      <w:r>
        <w:rPr>
          <w:rFonts w:ascii="宋体" w:hAnsi="宋体" w:eastAsia="宋体" w:cs="宋体"/>
          <w:color w:val="000000" w:themeColor="text1"/>
          <w:sz w:val="28"/>
          <w:szCs w:val="28"/>
          <w:shd w:val="clear" w:color="auto" w:fill="FFFFFF"/>
          <w14:textFill>
            <w14:solidFill>
              <w14:schemeClr w14:val="tx1"/>
            </w14:solidFill>
          </w14:textFill>
        </w:rPr>
        <w:t>。</w:t>
      </w:r>
    </w:p>
    <w:p>
      <w:pPr>
        <w:pStyle w:val="5"/>
        <w:widowControl/>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在此基础上，</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起草</w:t>
      </w:r>
      <w:r>
        <w:rPr>
          <w:rFonts w:hint="eastAsia" w:ascii="宋体" w:hAnsi="宋体" w:eastAsia="宋体" w:cs="宋体"/>
          <w:color w:val="000000" w:themeColor="text1"/>
          <w:sz w:val="28"/>
          <w:szCs w:val="28"/>
          <w:shd w:val="clear" w:color="auto" w:fill="FFFFFF"/>
          <w14:textFill>
            <w14:solidFill>
              <w14:schemeClr w14:val="tx1"/>
            </w14:solidFill>
          </w14:textFill>
        </w:rPr>
        <w:t>组制定了详细的内部征求意见方案，通过线上和线下会议形式，组织了包括登山运动管理中心、中国登山协会、户外营地等各方工作人员在内的团队进行内部意见征求工作，将各方代表对</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标准草案</w:t>
      </w:r>
      <w:r>
        <w:rPr>
          <w:rFonts w:hint="eastAsia" w:ascii="宋体" w:hAnsi="宋体" w:eastAsia="宋体" w:cs="宋体"/>
          <w:color w:val="000000" w:themeColor="text1"/>
          <w:sz w:val="28"/>
          <w:szCs w:val="28"/>
          <w:shd w:val="clear" w:color="auto" w:fill="FFFFFF"/>
          <w14:textFill>
            <w14:solidFill>
              <w14:schemeClr w14:val="tx1"/>
            </w14:solidFill>
          </w14:textFill>
        </w:rPr>
        <w:t>的建议进行收集整理，并据此对标准</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草案</w:t>
      </w:r>
      <w:r>
        <w:rPr>
          <w:rFonts w:hint="eastAsia" w:ascii="宋体" w:hAnsi="宋体" w:eastAsia="宋体" w:cs="宋体"/>
          <w:color w:val="000000" w:themeColor="text1"/>
          <w:sz w:val="28"/>
          <w:szCs w:val="28"/>
          <w:shd w:val="clear" w:color="auto" w:fill="FFFFFF"/>
          <w14:textFill>
            <w14:solidFill>
              <w14:schemeClr w14:val="tx1"/>
            </w14:solidFill>
          </w14:textFill>
        </w:rPr>
        <w:t>进行</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修改和</w:t>
      </w:r>
      <w:r>
        <w:rPr>
          <w:rFonts w:hint="eastAsia" w:ascii="宋体" w:hAnsi="宋体" w:eastAsia="宋体" w:cs="宋体"/>
          <w:color w:val="000000" w:themeColor="text1"/>
          <w:sz w:val="28"/>
          <w:szCs w:val="28"/>
          <w:shd w:val="clear" w:color="auto" w:fill="FFFFFF"/>
          <w14:textFill>
            <w14:solidFill>
              <w14:schemeClr w14:val="tx1"/>
            </w14:solidFill>
          </w14:textFill>
        </w:rPr>
        <w:t>完善，形成</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标准</w:t>
      </w:r>
      <w:r>
        <w:rPr>
          <w:rFonts w:hint="eastAsia" w:ascii="宋体" w:hAnsi="宋体" w:eastAsia="宋体" w:cs="宋体"/>
          <w:color w:val="000000" w:themeColor="text1"/>
          <w:sz w:val="28"/>
          <w:szCs w:val="28"/>
          <w:shd w:val="clear" w:color="auto" w:fill="FFFFFF"/>
          <w14:textFill>
            <w14:solidFill>
              <w14:schemeClr w14:val="tx1"/>
            </w14:solidFill>
          </w14:textFill>
        </w:rPr>
        <w:t>征求意见稿。</w:t>
      </w:r>
    </w:p>
    <w:p>
      <w:pPr>
        <w:pStyle w:val="5"/>
        <w:widowControl/>
        <w:numPr>
          <w:ilvl w:val="0"/>
          <w:numId w:val="1"/>
        </w:numPr>
        <w:shd w:val="clear" w:color="auto" w:fill="FFFFFF"/>
        <w:spacing w:beforeAutospacing="0" w:afterAutospacing="0"/>
        <w:jc w:val="both"/>
        <w:rPr>
          <w:rFonts w:ascii="黑体" w:hAnsi="黑体" w:eastAsia="黑体" w:cs="黑体"/>
          <w:b/>
          <w:bCs/>
          <w:color w:val="000000" w:themeColor="text1"/>
          <w:sz w:val="28"/>
          <w:szCs w:val="28"/>
          <w:shd w:val="clear" w:color="auto" w:fill="FFFFFF"/>
          <w14:textFill>
            <w14:solidFill>
              <w14:schemeClr w14:val="tx1"/>
            </w14:solidFill>
          </w14:textFill>
        </w:rPr>
      </w:pPr>
      <w:r>
        <w:rPr>
          <w:rFonts w:hint="eastAsia" w:ascii="黑体" w:hAnsi="黑体" w:eastAsia="黑体" w:cs="黑体"/>
          <w:b/>
          <w:bCs/>
          <w:color w:val="000000" w:themeColor="text1"/>
          <w:sz w:val="28"/>
          <w:szCs w:val="28"/>
          <w:shd w:val="clear" w:color="auto" w:fill="FFFFFF"/>
          <w14:textFill>
            <w14:solidFill>
              <w14:schemeClr w14:val="tx1"/>
            </w14:solidFill>
          </w14:textFill>
        </w:rPr>
        <w:t>编制原则、主要内容及标准主要技术要求的依据（包括验证报告、统计数据等）及理由</w:t>
      </w:r>
    </w:p>
    <w:p>
      <w:pPr>
        <w:pStyle w:val="5"/>
        <w:widowControl/>
        <w:numPr>
          <w:ilvl w:val="0"/>
          <w:numId w:val="5"/>
        </w:numPr>
        <w:shd w:val="clear" w:color="auto" w:fill="FFFFFF"/>
        <w:spacing w:beforeAutospacing="0" w:afterAutospacing="0"/>
        <w:jc w:val="both"/>
        <w:rPr>
          <w:rFonts w:ascii="黑体" w:hAnsi="黑体" w:eastAsia="黑体" w:cs="黑体"/>
          <w:b/>
          <w:bCs/>
          <w:color w:val="000000" w:themeColor="text1"/>
          <w:sz w:val="28"/>
          <w:szCs w:val="28"/>
          <w:shd w:val="clear" w:color="auto" w:fill="FFFFFF"/>
          <w14:textFill>
            <w14:solidFill>
              <w14:schemeClr w14:val="tx1"/>
            </w14:solidFill>
          </w14:textFill>
        </w:rPr>
      </w:pPr>
      <w:r>
        <w:rPr>
          <w:rFonts w:hint="eastAsia" w:ascii="黑体" w:hAnsi="黑体" w:eastAsia="黑体" w:cs="黑体"/>
          <w:b/>
          <w:bCs/>
          <w:color w:val="000000" w:themeColor="text1"/>
          <w:sz w:val="28"/>
          <w:szCs w:val="28"/>
          <w:shd w:val="clear" w:color="auto" w:fill="FFFFFF"/>
          <w14:textFill>
            <w14:solidFill>
              <w14:schemeClr w14:val="tx1"/>
            </w14:solidFill>
          </w14:textFill>
        </w:rPr>
        <w:t>编制原则</w:t>
      </w:r>
    </w:p>
    <w:p>
      <w:pPr>
        <w:pStyle w:val="5"/>
        <w:widowControl/>
        <w:shd w:val="clear" w:color="auto" w:fill="FFFFFF"/>
        <w:spacing w:beforeAutospacing="0" w:afterAutospacing="0"/>
        <w:ind w:firstLine="560" w:firstLineChars="200"/>
        <w:jc w:val="both"/>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根据严谨性、科学性、前瞻性和适用性的基本原则编制本标准</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14:textFill>
            <w14:solidFill>
              <w14:schemeClr w14:val="tx1"/>
            </w14:solidFill>
          </w14:textFill>
        </w:rPr>
        <w:t>在科学性和严谨性方面，本标准的起草是以现有的研究报告、政策文件、学术文献和技术指导等为参考，结合专家团队的修改意见，多次丰富与完善基本内容。此外，本标准的编制符合GB/T 1.1—2020《标准化工作导则  第1部分：标准化文件的结构和起草规则》。在前瞻性方面，本标准结合国内外其他领域优秀标准编制指南，引入先进的标准版本和技术要求，顺应最新标准编制发展趋势，具有很强的前瞻性。在适用性方面，本标准在编制过程中多次进行实地调研和开展专家研讨会，采纳国家体育总局登山运动管理中心、中国登山协会和诸多青少年户外营地等多方修改意见，努力保证评价指标和具体要求更为全面、科学、普适。</w:t>
      </w:r>
    </w:p>
    <w:p>
      <w:pPr>
        <w:pStyle w:val="5"/>
        <w:widowControl/>
        <w:numPr>
          <w:ilvl w:val="0"/>
          <w:numId w:val="5"/>
        </w:numPr>
        <w:shd w:val="clear" w:color="auto" w:fill="FFFFFF"/>
        <w:spacing w:beforeAutospacing="0" w:afterAutospacing="0"/>
        <w:jc w:val="both"/>
        <w:rPr>
          <w:rFonts w:ascii="黑体" w:hAnsi="黑体" w:eastAsia="黑体" w:cs="黑体"/>
          <w:b/>
          <w:bCs/>
          <w:color w:val="000000" w:themeColor="text1"/>
          <w:sz w:val="28"/>
          <w:szCs w:val="28"/>
          <w:shd w:val="clear" w:color="auto" w:fill="FFFFFF"/>
          <w14:textFill>
            <w14:solidFill>
              <w14:schemeClr w14:val="tx1"/>
            </w14:solidFill>
          </w14:textFill>
        </w:rPr>
      </w:pPr>
      <w:r>
        <w:rPr>
          <w:rFonts w:hint="eastAsia" w:ascii="黑体" w:hAnsi="黑体" w:eastAsia="黑体" w:cs="黑体"/>
          <w:b/>
          <w:bCs/>
          <w:color w:val="000000" w:themeColor="text1"/>
          <w:sz w:val="28"/>
          <w:szCs w:val="28"/>
          <w:shd w:val="clear" w:color="auto" w:fill="FFFFFF"/>
          <w14:textFill>
            <w14:solidFill>
              <w14:schemeClr w14:val="tx1"/>
            </w14:solidFill>
          </w14:textFill>
        </w:rPr>
        <w:t>标准的主要内容及主要技术要求的依据（包括验证报告、统计数据等）</w:t>
      </w:r>
    </w:p>
    <w:p>
      <w:pPr>
        <w:pStyle w:val="5"/>
        <w:widowControl/>
        <w:numPr>
          <w:ilvl w:val="0"/>
          <w:numId w:val="6"/>
        </w:numPr>
        <w:shd w:val="clear" w:color="auto" w:fill="FFFFFF"/>
        <w:spacing w:beforeAutospacing="0" w:afterAutospacing="0"/>
        <w:ind w:left="42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主要内容</w:t>
      </w:r>
    </w:p>
    <w:p>
      <w:pPr>
        <w:pStyle w:val="5"/>
        <w:widowControl/>
        <w:numPr>
          <w:ilvl w:val="255"/>
          <w:numId w:val="0"/>
        </w:numPr>
        <w:shd w:val="clear" w:color="auto" w:fill="FFFFFF"/>
        <w:spacing w:beforeAutospacing="0" w:afterAutospacing="0"/>
        <w:ind w:firstLine="560" w:firstLineChars="200"/>
        <w:jc w:val="both"/>
        <w:rPr>
          <w:rFonts w:cs="宋体"/>
          <w:color w:val="000000" w:themeColor="text1"/>
          <w:sz w:val="28"/>
          <w:szCs w:val="28"/>
          <w:shd w:val="clear" w:color="auto" w:fill="FFFFFF"/>
          <w14:textFill>
            <w14:solidFill>
              <w14:schemeClr w14:val="tx1"/>
            </w14:solidFill>
          </w14:textFill>
        </w:rPr>
      </w:pPr>
      <w:r>
        <w:rPr>
          <w:rFonts w:hint="eastAsia" w:cs="宋体"/>
          <w:color w:val="000000" w:themeColor="text1"/>
          <w:sz w:val="28"/>
          <w:szCs w:val="28"/>
          <w:shd w:val="clear" w:color="auto" w:fill="FFFFFF"/>
          <w14:textFill>
            <w14:solidFill>
              <w14:schemeClr w14:val="tx1"/>
            </w14:solidFill>
          </w14:textFill>
        </w:rPr>
        <w:t>标准主要包括青少年户外营地机构的基本条件、等级评分内容和分值两个部分。</w:t>
      </w:r>
    </w:p>
    <w:p>
      <w:pPr>
        <w:pStyle w:val="5"/>
        <w:widowControl/>
        <w:numPr>
          <w:ilvl w:val="255"/>
          <w:numId w:val="0"/>
        </w:numPr>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1.1范围</w:t>
      </w:r>
    </w:p>
    <w:p>
      <w:pPr>
        <w:pStyle w:val="5"/>
        <w:widowControl/>
        <w:shd w:val="clear" w:color="auto" w:fill="FFFFFF"/>
        <w:spacing w:beforeAutospacing="0" w:afterAutospacing="0"/>
        <w:ind w:firstLine="560"/>
        <w:jc w:val="both"/>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 xml:space="preserve">本文件规定了青少年户外营地的等级划分与标志、基本要求和等级评定。 </w:t>
      </w:r>
    </w:p>
    <w:p>
      <w:pPr>
        <w:pStyle w:val="5"/>
        <w:widowControl/>
        <w:shd w:val="clear" w:color="auto" w:fill="FFFFFF"/>
        <w:spacing w:beforeAutospacing="0" w:afterAutospacing="0"/>
        <w:ind w:firstLine="560"/>
        <w:jc w:val="both"/>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本文件适用于青少年户外营地的等级划分与评定。</w:t>
      </w:r>
    </w:p>
    <w:p>
      <w:pPr>
        <w:pStyle w:val="5"/>
        <w:widowControl/>
        <w:numPr>
          <w:ilvl w:val="255"/>
          <w:numId w:val="0"/>
        </w:numPr>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1.2青少年户外营地等级划分及评定总则</w:t>
      </w:r>
    </w:p>
    <w:p>
      <w:pPr>
        <w:pStyle w:val="5"/>
        <w:widowControl/>
        <w:shd w:val="clear" w:color="auto" w:fill="FFFFFF"/>
        <w:spacing w:beforeAutospacing="0" w:afterAutospacing="0"/>
        <w:ind w:firstLine="56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通过广泛阅读和整理国内外青少年户外营地发展的相关政策，结合具有代表性的户外营地实地调查，在青少年户外营地、标准制定领域专家团队的研讨会和座谈会的帮助下，明确青少年户外营地等级划分和评定总则。</w:t>
      </w:r>
    </w:p>
    <w:p>
      <w:pPr>
        <w:pStyle w:val="5"/>
        <w:widowControl/>
        <w:numPr>
          <w:ilvl w:val="255"/>
          <w:numId w:val="0"/>
        </w:numPr>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1.3各等级青少年户外营地基本要求</w:t>
      </w:r>
    </w:p>
    <w:p>
      <w:pPr>
        <w:pStyle w:val="5"/>
        <w:widowControl/>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基本要求包括统一要求和各等级要求，统一要求是参与评定的最基本要求，需要所有户外营地达到的最基本条件，各等级要求是不同等级户外营地采用对应的评定办法。</w:t>
      </w:r>
    </w:p>
    <w:p>
      <w:pPr>
        <w:pStyle w:val="5"/>
        <w:widowControl/>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统一要求：青少年户外营地所有权和使用权合法合规；场地满足各对应等级的基本条件；各类设备、设施、器材符合安全规范。在中华人民共和国境内正式运营一年以上、地质稳定、无地质灾害发生隐患、能够划分营区、规范场地的营围，且应有监控系统。</w:t>
      </w:r>
    </w:p>
    <w:p>
      <w:pPr>
        <w:pStyle w:val="5"/>
        <w:widowControl/>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各等级要求：各等级需满足相应的营地面积、活动场所面积、营地监控面积、医疗救护配置、持证专职人员、开展课程数量、外部交通抵达户外营地的距离和营地餐饮服务食品安全等级公示等级的要求。</w:t>
      </w:r>
    </w:p>
    <w:p>
      <w:pPr>
        <w:pStyle w:val="5"/>
        <w:widowControl/>
        <w:numPr>
          <w:ilvl w:val="255"/>
          <w:numId w:val="0"/>
        </w:numPr>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1.4青少年户外营地等级评定</w:t>
      </w:r>
    </w:p>
    <w:p>
      <w:pPr>
        <w:pStyle w:val="5"/>
        <w:widowControl/>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青少年户外营地等级评</w:t>
      </w:r>
      <w:r>
        <w:rPr>
          <w:rFonts w:ascii="宋体" w:hAnsi="宋体" w:eastAsia="宋体" w:cs="宋体"/>
          <w:color w:val="000000" w:themeColor="text1"/>
          <w:sz w:val="28"/>
          <w:szCs w:val="28"/>
          <w:shd w:val="clear" w:color="auto" w:fill="FFFFFF"/>
          <w14:textFill>
            <w14:solidFill>
              <w14:schemeClr w14:val="tx1"/>
            </w14:solidFill>
          </w14:textFill>
        </w:rPr>
        <w:t>分内容</w:t>
      </w:r>
      <w:r>
        <w:rPr>
          <w:rFonts w:hint="eastAsia" w:ascii="宋体" w:hAnsi="宋体" w:eastAsia="宋体" w:cs="宋体"/>
          <w:color w:val="000000" w:themeColor="text1"/>
          <w:sz w:val="28"/>
          <w:szCs w:val="28"/>
          <w:shd w:val="clear" w:color="auto" w:fill="FFFFFF"/>
          <w14:textFill>
            <w14:solidFill>
              <w14:schemeClr w14:val="tx1"/>
            </w14:solidFill>
          </w14:textFill>
        </w:rPr>
        <w:t>定包括评定原则、流程、人员和方法。</w:t>
      </w:r>
    </w:p>
    <w:p>
      <w:pPr>
        <w:pStyle w:val="5"/>
        <w:widowControl/>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评定内容包括场地规划3分，基础设施18分，公共服务设施9分，专项服务设施13分，安全保障6分，卫生保障11分，医疗救护8分，综合管理13分，综合影响19分</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总分100分</w:t>
      </w:r>
      <w:r>
        <w:rPr>
          <w:rFonts w:ascii="宋体" w:hAnsi="宋体" w:eastAsia="宋体" w:cs="宋体"/>
          <w:color w:val="000000" w:themeColor="text1"/>
          <w:sz w:val="28"/>
          <w:szCs w:val="28"/>
          <w:shd w:val="clear" w:color="auto" w:fill="FFFFFF"/>
          <w14:textFill>
            <w14:solidFill>
              <w14:schemeClr w14:val="tx1"/>
            </w14:solidFill>
          </w14:textFill>
        </w:rPr>
        <w:t>。</w:t>
      </w:r>
    </w:p>
    <w:p>
      <w:pPr>
        <w:pStyle w:val="5"/>
        <w:widowControl/>
        <w:numPr>
          <w:ilvl w:val="0"/>
          <w:numId w:val="6"/>
        </w:numPr>
        <w:shd w:val="clear" w:color="auto" w:fill="FFFFFF"/>
        <w:spacing w:beforeAutospacing="0" w:afterAutospacing="0"/>
        <w:ind w:left="420"/>
        <w:jc w:val="both"/>
        <w:rPr>
          <w:rFonts w:ascii="宋体" w:hAnsi="宋体" w:eastAsia="宋体" w:cs="宋体"/>
          <w:color w:val="000000" w:themeColor="text1"/>
          <w:sz w:val="28"/>
          <w:szCs w:val="28"/>
          <w:shd w:val="clear" w:color="auto" w:fill="FFFFFF"/>
          <w14:textFill>
            <w14:solidFill>
              <w14:schemeClr w14:val="tx1"/>
            </w14:solidFill>
          </w14:textFill>
        </w:rPr>
      </w:pPr>
      <w:r>
        <w:rPr>
          <w:rFonts w:ascii="宋体" w:hAnsi="宋体" w:eastAsia="宋体" w:cs="宋体"/>
          <w:color w:val="000000" w:themeColor="text1"/>
          <w:sz w:val="28"/>
          <w:szCs w:val="28"/>
          <w:shd w:val="clear" w:color="auto" w:fill="FFFFFF"/>
          <w14:textFill>
            <w14:solidFill>
              <w14:schemeClr w14:val="tx1"/>
            </w14:solidFill>
          </w14:textFill>
        </w:rPr>
        <w:t>主要技术要求的依据</w:t>
      </w:r>
    </w:p>
    <w:p>
      <w:pPr>
        <w:pStyle w:val="5"/>
        <w:widowControl/>
        <w:numPr>
          <w:ilvl w:val="255"/>
          <w:numId w:val="0"/>
        </w:numPr>
        <w:shd w:val="clear" w:color="auto" w:fill="FFFFFF"/>
        <w:spacing w:beforeAutospacing="0" w:afterAutospacing="0"/>
        <w:ind w:firstLine="560" w:firstLineChars="200"/>
        <w:jc w:val="both"/>
        <w:rPr>
          <w:rFonts w:hint="eastAsia" w:cs="宋体"/>
          <w:color w:val="auto"/>
          <w:sz w:val="28"/>
          <w:szCs w:val="28"/>
          <w:shd w:val="clear" w:color="auto" w:fill="FFFFFF"/>
        </w:rPr>
      </w:pPr>
      <w:r>
        <w:rPr>
          <w:rFonts w:hint="eastAsia" w:cs="宋体"/>
          <w:color w:val="000000" w:themeColor="text1"/>
          <w:sz w:val="28"/>
          <w:szCs w:val="28"/>
          <w:shd w:val="clear" w:color="auto" w:fill="FFFFFF"/>
          <w14:textFill>
            <w14:solidFill>
              <w14:schemeClr w14:val="tx1"/>
            </w14:solidFill>
          </w14:textFill>
        </w:rPr>
        <w:t>团队</w:t>
      </w:r>
      <w:r>
        <w:rPr>
          <w:rFonts w:hint="eastAsia" w:cs="宋体"/>
          <w:color w:val="auto"/>
          <w:sz w:val="28"/>
          <w:szCs w:val="28"/>
          <w:shd w:val="clear" w:color="auto" w:fill="FFFFFF"/>
        </w:rPr>
        <w:t>成员深入北京国际青年营</w:t>
      </w:r>
      <w:r>
        <w:rPr>
          <w:rFonts w:hint="eastAsia" w:cs="宋体"/>
          <w:color w:val="auto"/>
          <w:sz w:val="28"/>
          <w:szCs w:val="28"/>
          <w:shd w:val="clear" w:color="auto" w:fill="FFFFFF"/>
          <w:lang w:eastAsia="zh-CN"/>
        </w:rPr>
        <w:t>、</w:t>
      </w:r>
      <w:r>
        <w:rPr>
          <w:rFonts w:hint="eastAsia" w:cs="宋体"/>
          <w:color w:val="auto"/>
          <w:sz w:val="28"/>
          <w:szCs w:val="28"/>
          <w:shd w:val="clear" w:color="auto" w:fill="FFFFFF"/>
        </w:rPr>
        <w:t>深圳源野国际探索教育营地、东莞花茶湾冠军营地、惠州欢笑白鹭湖营地</w:t>
      </w:r>
      <w:r>
        <w:rPr>
          <w:rFonts w:hint="eastAsia" w:cs="宋体"/>
          <w:color w:val="auto"/>
          <w:sz w:val="28"/>
          <w:szCs w:val="28"/>
          <w:shd w:val="clear" w:color="auto" w:fill="FFFFFF"/>
          <w:lang w:eastAsia="zh-CN"/>
        </w:rPr>
        <w:t>、</w:t>
      </w:r>
      <w:r>
        <w:rPr>
          <w:rFonts w:hint="eastAsia" w:cs="宋体"/>
          <w:color w:val="auto"/>
          <w:sz w:val="28"/>
          <w:szCs w:val="28"/>
          <w:shd w:val="clear" w:color="auto" w:fill="FFFFFF"/>
          <w:lang w:val="en-US" w:eastAsia="zh-CN"/>
        </w:rPr>
        <w:t>远望营地、游美国际营地、武汉落雁美芦营地、</w:t>
      </w:r>
      <w:r>
        <w:rPr>
          <w:rFonts w:hint="eastAsia" w:cs="宋体"/>
          <w:color w:val="auto"/>
          <w:sz w:val="28"/>
          <w:szCs w:val="28"/>
          <w:shd w:val="clear" w:color="auto" w:fill="FFFFFF"/>
        </w:rPr>
        <w:t>武汉小蚂蚁部落营地</w:t>
      </w:r>
      <w:r>
        <w:rPr>
          <w:rFonts w:hint="eastAsia" w:cs="宋体"/>
          <w:color w:val="auto"/>
          <w:sz w:val="28"/>
          <w:szCs w:val="28"/>
          <w:shd w:val="clear" w:color="auto" w:fill="FFFFFF"/>
          <w:lang w:eastAsia="zh-CN"/>
        </w:rPr>
        <w:t>、</w:t>
      </w:r>
      <w:r>
        <w:rPr>
          <w:rFonts w:hint="eastAsia" w:cs="宋体"/>
          <w:color w:val="auto"/>
          <w:sz w:val="28"/>
          <w:szCs w:val="28"/>
          <w:shd w:val="clear" w:color="auto" w:fill="FFFFFF"/>
          <w:lang w:val="en-US" w:eastAsia="zh-CN"/>
        </w:rPr>
        <w:t>深圳</w:t>
      </w:r>
      <w:r>
        <w:rPr>
          <w:rFonts w:hint="eastAsia" w:cs="宋体"/>
          <w:color w:val="auto"/>
          <w:sz w:val="28"/>
          <w:szCs w:val="28"/>
          <w:shd w:val="clear" w:color="auto" w:fill="FFFFFF"/>
          <w:lang w:eastAsia="zh-CN"/>
        </w:rPr>
        <w:t>星期八户外教育咨询有限公司、</w:t>
      </w:r>
      <w:r>
        <w:rPr>
          <w:rFonts w:hint="eastAsia" w:cs="宋体"/>
          <w:color w:val="auto"/>
          <w:sz w:val="28"/>
          <w:szCs w:val="28"/>
          <w:shd w:val="clear" w:color="auto" w:fill="FFFFFF"/>
          <w:lang w:val="en-US" w:eastAsia="zh-CN"/>
        </w:rPr>
        <w:t>海南万宁神州半岛沙滩俱乐部、海南三亚大茅远洋生态村、海亮素质教育集团和河南建培等</w:t>
      </w:r>
      <w:r>
        <w:rPr>
          <w:rFonts w:hint="eastAsia" w:cs="宋体"/>
          <w:color w:val="auto"/>
          <w:sz w:val="28"/>
          <w:szCs w:val="28"/>
          <w:shd w:val="clear" w:color="auto" w:fill="FFFFFF"/>
        </w:rPr>
        <w:t>青少年户外营地</w:t>
      </w:r>
      <w:r>
        <w:rPr>
          <w:rFonts w:hint="eastAsia" w:cs="宋体"/>
          <w:color w:val="auto"/>
          <w:sz w:val="28"/>
          <w:szCs w:val="28"/>
          <w:shd w:val="clear" w:color="auto" w:fill="FFFFFF"/>
          <w:lang w:val="en-US" w:eastAsia="zh-CN"/>
        </w:rPr>
        <w:t>及机构进行</w:t>
      </w:r>
      <w:r>
        <w:rPr>
          <w:rFonts w:hint="eastAsia" w:cs="宋体"/>
          <w:color w:val="auto"/>
          <w:sz w:val="28"/>
          <w:szCs w:val="28"/>
          <w:shd w:val="clear" w:color="auto" w:fill="FFFFFF"/>
        </w:rPr>
        <w:t>调研，查阅美国营地协会</w:t>
      </w:r>
      <w:r>
        <w:rPr>
          <w:rFonts w:hint="eastAsia" w:cs="宋体"/>
          <w:color w:val="auto"/>
          <w:sz w:val="28"/>
          <w:szCs w:val="28"/>
          <w:shd w:val="clear" w:color="auto" w:fill="FFFFFF"/>
          <w:lang w:eastAsia="zh-CN"/>
        </w:rPr>
        <w:t>、</w:t>
      </w:r>
      <w:r>
        <w:rPr>
          <w:rFonts w:hint="eastAsia" w:cs="宋体"/>
          <w:color w:val="auto"/>
          <w:sz w:val="28"/>
          <w:szCs w:val="28"/>
          <w:shd w:val="clear" w:color="auto" w:fill="FFFFFF"/>
        </w:rPr>
        <w:t>欧洲营地协会</w:t>
      </w:r>
      <w:r>
        <w:rPr>
          <w:rFonts w:hint="eastAsia" w:cs="宋体"/>
          <w:color w:val="auto"/>
          <w:sz w:val="28"/>
          <w:szCs w:val="28"/>
          <w:shd w:val="clear" w:color="auto" w:fill="FFFFFF"/>
          <w:lang w:val="en-US" w:eastAsia="zh-CN"/>
        </w:rPr>
        <w:t>和</w:t>
      </w:r>
      <w:r>
        <w:rPr>
          <w:rFonts w:hint="eastAsia" w:cs="宋体"/>
          <w:color w:val="auto"/>
          <w:sz w:val="28"/>
          <w:szCs w:val="28"/>
          <w:shd w:val="clear" w:color="auto" w:fill="FFFFFF"/>
        </w:rPr>
        <w:t>澳大利亚营地协会</w:t>
      </w:r>
      <w:r>
        <w:rPr>
          <w:rFonts w:hint="eastAsia" w:cs="宋体"/>
          <w:color w:val="auto"/>
          <w:sz w:val="28"/>
          <w:szCs w:val="28"/>
          <w:shd w:val="clear" w:color="auto" w:fill="FFFFFF"/>
          <w:lang w:val="en-US" w:eastAsia="zh-CN"/>
        </w:rPr>
        <w:t>等国外相关营地组织的</w:t>
      </w:r>
      <w:r>
        <w:rPr>
          <w:rFonts w:hint="eastAsia" w:cs="宋体"/>
          <w:color w:val="auto"/>
          <w:sz w:val="28"/>
          <w:szCs w:val="28"/>
          <w:shd w:val="clear" w:color="auto" w:fill="FFFFFF"/>
        </w:rPr>
        <w:t>相关资料</w:t>
      </w:r>
      <w:r>
        <w:rPr>
          <w:rFonts w:hint="eastAsia" w:cs="宋体"/>
          <w:color w:val="auto"/>
          <w:sz w:val="28"/>
          <w:szCs w:val="28"/>
          <w:shd w:val="clear" w:color="auto" w:fill="FFFFFF"/>
          <w:lang w:val="en-US" w:eastAsia="zh-CN"/>
        </w:rPr>
        <w:t>和国内相关资料文献</w:t>
      </w:r>
      <w:r>
        <w:rPr>
          <w:rFonts w:hint="eastAsia" w:cs="宋体"/>
          <w:color w:val="auto"/>
          <w:sz w:val="28"/>
          <w:szCs w:val="28"/>
          <w:shd w:val="clear" w:color="auto" w:fill="FFFFFF"/>
        </w:rPr>
        <w:t>，对该领域有较深入的了解</w:t>
      </w:r>
      <w:r>
        <w:rPr>
          <w:rFonts w:hint="eastAsia" w:cs="宋体"/>
          <w:color w:val="auto"/>
          <w:sz w:val="28"/>
          <w:szCs w:val="28"/>
          <w:shd w:val="clear" w:color="auto" w:fill="FFFFFF"/>
          <w:lang w:eastAsia="zh-CN"/>
        </w:rPr>
        <w:t>。</w:t>
      </w:r>
      <w:r>
        <w:rPr>
          <w:rFonts w:hint="eastAsia" w:cs="宋体"/>
          <w:color w:val="auto"/>
          <w:sz w:val="28"/>
          <w:szCs w:val="28"/>
          <w:shd w:val="clear" w:color="auto" w:fill="FFFFFF"/>
        </w:rPr>
        <w:t>为初步构建青少年户外营地等级划分体系，特制定青少年户外营地</w:t>
      </w:r>
      <w:r>
        <w:rPr>
          <w:rFonts w:hint="eastAsia" w:cs="宋体"/>
          <w:color w:val="000000" w:themeColor="text1"/>
          <w:sz w:val="28"/>
          <w:szCs w:val="28"/>
          <w:shd w:val="clear" w:color="auto" w:fill="FFFFFF"/>
          <w14:textFill>
            <w14:solidFill>
              <w14:schemeClr w14:val="tx1"/>
            </w14:solidFill>
          </w14:textFill>
        </w:rPr>
        <w:t>等级划分体系访谈</w:t>
      </w:r>
      <w:r>
        <w:rPr>
          <w:rFonts w:hint="eastAsia" w:cs="宋体"/>
          <w:color w:val="auto"/>
          <w:sz w:val="28"/>
          <w:szCs w:val="28"/>
          <w:shd w:val="clear" w:color="auto" w:fill="FFFFFF"/>
        </w:rPr>
        <w:t>提纲，对</w:t>
      </w:r>
      <w:r>
        <w:rPr>
          <w:rFonts w:hint="eastAsia" w:cs="宋体"/>
          <w:color w:val="auto"/>
          <w:sz w:val="28"/>
          <w:szCs w:val="28"/>
          <w:shd w:val="clear" w:color="auto" w:fill="FFFFFF"/>
          <w:lang w:val="en-US" w:eastAsia="zh-CN"/>
        </w:rPr>
        <w:t>国家体育总局、湖北省体育局等</w:t>
      </w:r>
      <w:r>
        <w:rPr>
          <w:rFonts w:hint="eastAsia" w:cs="宋体"/>
          <w:color w:val="auto"/>
          <w:sz w:val="28"/>
          <w:szCs w:val="28"/>
          <w:shd w:val="clear" w:color="auto" w:fill="FFFFFF"/>
        </w:rPr>
        <w:t>政府部门</w:t>
      </w:r>
      <w:r>
        <w:rPr>
          <w:rFonts w:hint="eastAsia" w:cs="宋体"/>
          <w:color w:val="auto"/>
          <w:sz w:val="28"/>
          <w:szCs w:val="28"/>
          <w:shd w:val="clear" w:color="auto" w:fill="FFFFFF"/>
          <w:lang w:val="en-US" w:eastAsia="zh-CN"/>
        </w:rPr>
        <w:t>工作人员</w:t>
      </w:r>
      <w:r>
        <w:rPr>
          <w:rFonts w:hint="eastAsia" w:cs="宋体"/>
          <w:color w:val="auto"/>
          <w:sz w:val="28"/>
          <w:szCs w:val="28"/>
          <w:shd w:val="clear" w:color="auto" w:fill="FFFFFF"/>
          <w:lang w:eastAsia="zh-CN"/>
        </w:rPr>
        <w:t>；</w:t>
      </w:r>
      <w:r>
        <w:rPr>
          <w:rFonts w:hint="eastAsia" w:cs="宋体"/>
          <w:color w:val="auto"/>
          <w:sz w:val="28"/>
          <w:szCs w:val="28"/>
          <w:shd w:val="clear" w:color="auto" w:fill="FFFFFF"/>
          <w:lang w:val="en-US" w:eastAsia="zh-CN"/>
        </w:rPr>
        <w:t>中国登山协会、湖北省登山运动协会、吉林省登山运动协会等</w:t>
      </w:r>
      <w:r>
        <w:rPr>
          <w:rFonts w:hint="eastAsia" w:cs="宋体"/>
          <w:color w:val="auto"/>
          <w:sz w:val="28"/>
          <w:szCs w:val="28"/>
          <w:shd w:val="clear" w:color="auto" w:fill="FFFFFF"/>
        </w:rPr>
        <w:t>相关机构的</w:t>
      </w:r>
      <w:r>
        <w:rPr>
          <w:rFonts w:hint="eastAsia" w:cs="宋体"/>
          <w:color w:val="auto"/>
          <w:sz w:val="28"/>
          <w:szCs w:val="28"/>
          <w:shd w:val="clear" w:color="auto" w:fill="FFFFFF"/>
          <w:lang w:val="en-US" w:eastAsia="zh-CN"/>
        </w:rPr>
        <w:t>人员</w:t>
      </w:r>
      <w:r>
        <w:rPr>
          <w:rFonts w:hint="eastAsia" w:cs="宋体"/>
          <w:color w:val="auto"/>
          <w:sz w:val="28"/>
          <w:szCs w:val="28"/>
          <w:shd w:val="clear" w:color="auto" w:fill="FFFFFF"/>
          <w:lang w:eastAsia="zh-CN"/>
        </w:rPr>
        <w:t>；</w:t>
      </w:r>
      <w:r>
        <w:rPr>
          <w:rFonts w:hint="eastAsia" w:cs="宋体"/>
          <w:color w:val="auto"/>
          <w:sz w:val="28"/>
          <w:szCs w:val="28"/>
          <w:shd w:val="clear" w:color="auto" w:fill="FFFFFF"/>
          <w:lang w:val="en-US" w:eastAsia="zh-CN"/>
        </w:rPr>
        <w:t>中国地质大学（武汉）、安徽工程大学、海南大学、湖北大学等</w:t>
      </w:r>
      <w:r>
        <w:rPr>
          <w:rFonts w:hint="eastAsia" w:cs="宋体"/>
          <w:color w:val="auto"/>
          <w:sz w:val="28"/>
          <w:szCs w:val="28"/>
          <w:shd w:val="clear" w:color="auto" w:fill="FFFFFF"/>
        </w:rPr>
        <w:t>高校教师进行</w:t>
      </w:r>
      <w:r>
        <w:rPr>
          <w:rFonts w:hint="eastAsia" w:cs="宋体"/>
          <w:color w:val="auto"/>
          <w:sz w:val="28"/>
          <w:szCs w:val="28"/>
          <w:shd w:val="clear" w:color="auto" w:fill="FFFFFF"/>
          <w:lang w:val="en-US" w:eastAsia="zh-CN"/>
        </w:rPr>
        <w:t>了</w:t>
      </w:r>
      <w:r>
        <w:rPr>
          <w:rFonts w:hint="eastAsia" w:cs="宋体"/>
          <w:color w:val="auto"/>
          <w:sz w:val="28"/>
          <w:szCs w:val="28"/>
          <w:shd w:val="clear" w:color="auto" w:fill="FFFFFF"/>
        </w:rPr>
        <w:t>访谈，为评估指标体系的完善提供实践依据。</w:t>
      </w:r>
      <w:r>
        <w:rPr>
          <w:rFonts w:hint="eastAsia" w:cs="宋体"/>
          <w:color w:val="auto"/>
          <w:sz w:val="28"/>
          <w:szCs w:val="28"/>
          <w:shd w:val="clear" w:color="auto" w:fill="FFFFFF"/>
          <w:lang w:val="en-US" w:eastAsia="zh-CN"/>
        </w:rPr>
        <w:t>最后，</w:t>
      </w:r>
      <w:r>
        <w:rPr>
          <w:rFonts w:hint="eastAsia" w:cs="宋体"/>
          <w:color w:val="auto"/>
          <w:sz w:val="28"/>
          <w:szCs w:val="28"/>
          <w:shd w:val="clear" w:color="auto" w:fill="FFFFFF"/>
        </w:rPr>
        <w:t>运用德尔菲法和层次分析法确定了指标和权重。</w:t>
      </w:r>
    </w:p>
    <w:p>
      <w:pPr>
        <w:pStyle w:val="5"/>
        <w:widowControl/>
        <w:numPr>
          <w:ilvl w:val="255"/>
          <w:numId w:val="0"/>
        </w:numPr>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cs="宋体"/>
          <w:color w:val="auto"/>
          <w:sz w:val="28"/>
          <w:szCs w:val="28"/>
          <w:shd w:val="clear" w:color="auto" w:fill="FFFFFF"/>
          <w:lang w:val="en-US" w:eastAsia="zh-CN"/>
        </w:rPr>
        <w:t>分别对行业专家发放了三</w:t>
      </w:r>
      <w:r>
        <w:rPr>
          <w:rFonts w:hint="eastAsia" w:cs="宋体"/>
          <w:color w:val="auto"/>
          <w:sz w:val="28"/>
          <w:szCs w:val="28"/>
          <w:shd w:val="clear" w:color="auto" w:fill="FFFFFF"/>
        </w:rPr>
        <w:t>轮</w:t>
      </w:r>
      <w:r>
        <w:rPr>
          <w:rFonts w:hint="eastAsia" w:cs="宋体"/>
          <w:color w:val="auto"/>
          <w:sz w:val="28"/>
          <w:szCs w:val="28"/>
          <w:shd w:val="clear" w:color="auto" w:fill="FFFFFF"/>
          <w:lang w:val="en-US" w:eastAsia="zh-CN"/>
        </w:rPr>
        <w:t>问卷</w:t>
      </w:r>
      <w:r>
        <w:rPr>
          <w:rFonts w:hint="eastAsia" w:cs="宋体"/>
          <w:color w:val="auto"/>
          <w:sz w:val="28"/>
          <w:szCs w:val="28"/>
          <w:shd w:val="clear" w:color="auto" w:fill="FFFFFF"/>
        </w:rPr>
        <w:t>。第一、二轮主要是根据专家的反馈意见进行指标体系的修改，对指标进行增加、删除及修正，并将结果整理后以匿名的形式反馈给各专家组成员进行判定。最后通过第三轮的专家咨询，整理与归纳专家的意见，对最终形成的评估指标体系进行重要性赋值，计算指标权重，确定评估指标体系。分别于</w:t>
      </w:r>
      <w:r>
        <w:rPr>
          <w:rFonts w:hint="eastAsia" w:cs="宋体"/>
          <w:color w:val="000000" w:themeColor="text1"/>
          <w:sz w:val="28"/>
          <w:szCs w:val="28"/>
          <w:shd w:val="clear" w:color="auto" w:fill="FFFFFF"/>
          <w14:textFill>
            <w14:solidFill>
              <w14:schemeClr w14:val="tx1"/>
            </w14:solidFill>
          </w14:textFill>
        </w:rPr>
        <w:t>2023年4月6日在北京召开了标准编制启动会、5月23日</w:t>
      </w:r>
      <w:r>
        <w:rPr>
          <w:rFonts w:hint="eastAsia" w:cs="宋体"/>
          <w:color w:val="000000" w:themeColor="text1"/>
          <w:sz w:val="28"/>
          <w:szCs w:val="28"/>
          <w:shd w:val="clear" w:color="auto" w:fill="FFFFFF"/>
          <w:lang w:val="en-US" w:eastAsia="zh-CN"/>
          <w14:textFill>
            <w14:solidFill>
              <w14:schemeClr w14:val="tx1"/>
            </w14:solidFill>
          </w14:textFill>
        </w:rPr>
        <w:t>在</w:t>
      </w:r>
      <w:r>
        <w:rPr>
          <w:rFonts w:hint="eastAsia" w:cs="宋体"/>
          <w:color w:val="000000" w:themeColor="text1"/>
          <w:sz w:val="28"/>
          <w:szCs w:val="28"/>
          <w:shd w:val="clear" w:color="auto" w:fill="FFFFFF"/>
          <w14:textFill>
            <w14:solidFill>
              <w14:schemeClr w14:val="tx1"/>
            </w14:solidFill>
          </w14:textFill>
        </w:rPr>
        <w:t>线上</w:t>
      </w:r>
      <w:r>
        <w:rPr>
          <w:rFonts w:hint="eastAsia" w:cs="宋体"/>
          <w:color w:val="000000" w:themeColor="text1"/>
          <w:sz w:val="28"/>
          <w:szCs w:val="28"/>
          <w:shd w:val="clear" w:color="auto" w:fill="FFFFFF"/>
          <w:lang w:val="en-US" w:eastAsia="zh-CN"/>
          <w14:textFill>
            <w14:solidFill>
              <w14:schemeClr w14:val="tx1"/>
            </w14:solidFill>
          </w14:textFill>
        </w:rPr>
        <w:t>召开了指标体系</w:t>
      </w:r>
      <w:r>
        <w:rPr>
          <w:rFonts w:hint="eastAsia" w:cs="宋体"/>
          <w:color w:val="000000" w:themeColor="text1"/>
          <w:sz w:val="28"/>
          <w:szCs w:val="28"/>
          <w:shd w:val="clear" w:color="auto" w:fill="FFFFFF"/>
          <w14:textFill>
            <w14:solidFill>
              <w14:schemeClr w14:val="tx1"/>
            </w14:solidFill>
          </w14:textFill>
        </w:rPr>
        <w:t>研讨会、9月28日在</w:t>
      </w:r>
      <w:r>
        <w:rPr>
          <w:rFonts w:hint="eastAsia" w:ascii="宋体" w:hAnsi="宋体" w:eastAsia="宋体" w:cs="宋体"/>
          <w:color w:val="000000" w:themeColor="text1"/>
          <w:sz w:val="28"/>
          <w:szCs w:val="28"/>
          <w:shd w:val="clear" w:color="auto" w:fill="FFFFFF"/>
          <w14:textFill>
            <w14:solidFill>
              <w14:schemeClr w14:val="tx1"/>
            </w14:solidFill>
          </w14:textFill>
        </w:rPr>
        <w:t>仪征召开了编</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制</w:t>
      </w:r>
      <w:r>
        <w:rPr>
          <w:rFonts w:hint="eastAsia" w:ascii="宋体" w:hAnsi="宋体" w:eastAsia="宋体" w:cs="宋体"/>
          <w:color w:val="000000" w:themeColor="text1"/>
          <w:sz w:val="28"/>
          <w:szCs w:val="28"/>
          <w:shd w:val="clear" w:color="auto" w:fill="FFFFFF"/>
          <w14:textFill>
            <w14:solidFill>
              <w14:schemeClr w14:val="tx1"/>
            </w14:solidFill>
          </w14:textFill>
        </w:rPr>
        <w:t>研讨会</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14:textFill>
            <w14:solidFill>
              <w14:schemeClr w14:val="tx1"/>
            </w14:solidFill>
          </w14:textFill>
        </w:rPr>
        <w:t>10月11日</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在</w:t>
      </w:r>
      <w:r>
        <w:rPr>
          <w:rFonts w:hint="eastAsia" w:ascii="宋体" w:hAnsi="宋体" w:eastAsia="宋体" w:cs="宋体"/>
          <w:color w:val="000000" w:themeColor="text1"/>
          <w:sz w:val="28"/>
          <w:szCs w:val="28"/>
          <w:shd w:val="clear" w:color="auto" w:fill="FFFFFF"/>
          <w14:textFill>
            <w14:solidFill>
              <w14:schemeClr w14:val="tx1"/>
            </w14:solidFill>
          </w14:textFill>
        </w:rPr>
        <w:t>线上</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召开了</w:t>
      </w:r>
      <w:r>
        <w:rPr>
          <w:rFonts w:hint="eastAsia" w:ascii="宋体" w:hAnsi="宋体" w:eastAsia="宋体" w:cs="宋体"/>
          <w:color w:val="000000" w:themeColor="text1"/>
          <w:sz w:val="28"/>
          <w:szCs w:val="28"/>
          <w:shd w:val="clear" w:color="auto" w:fill="FFFFFF"/>
          <w14:textFill>
            <w14:solidFill>
              <w14:schemeClr w14:val="tx1"/>
            </w14:solidFill>
          </w14:textFill>
        </w:rPr>
        <w:t>编</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制</w:t>
      </w:r>
      <w:r>
        <w:rPr>
          <w:rFonts w:hint="eastAsia" w:ascii="宋体" w:hAnsi="宋体" w:eastAsia="宋体" w:cs="宋体"/>
          <w:color w:val="000000" w:themeColor="text1"/>
          <w:sz w:val="28"/>
          <w:szCs w:val="28"/>
          <w:shd w:val="clear" w:color="auto" w:fill="FFFFFF"/>
          <w14:textFill>
            <w14:solidFill>
              <w14:schemeClr w14:val="tx1"/>
            </w14:solidFill>
          </w14:textFill>
        </w:rPr>
        <w:t>研讨会</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，就标准中的体系结构、分值比重和规范表述等内容进行了细致研讨。通过以上会议，获</w:t>
      </w:r>
      <w:r>
        <w:rPr>
          <w:rFonts w:hint="eastAsia" w:ascii="宋体" w:hAnsi="宋体" w:eastAsia="宋体" w:cs="宋体"/>
          <w:color w:val="000000" w:themeColor="text1"/>
          <w:sz w:val="28"/>
          <w:szCs w:val="28"/>
          <w:shd w:val="clear" w:color="auto" w:fill="FFFFFF"/>
          <w14:textFill>
            <w14:solidFill>
              <w14:schemeClr w14:val="tx1"/>
            </w14:solidFill>
          </w14:textFill>
        </w:rPr>
        <w:t>取</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了</w:t>
      </w:r>
      <w:r>
        <w:rPr>
          <w:rFonts w:hint="eastAsia" w:ascii="宋体" w:hAnsi="宋体" w:eastAsia="宋体" w:cs="宋体"/>
          <w:color w:val="000000" w:themeColor="text1"/>
          <w:sz w:val="28"/>
          <w:szCs w:val="28"/>
          <w:shd w:val="clear" w:color="auto" w:fill="FFFFFF"/>
          <w14:textFill>
            <w14:solidFill>
              <w14:schemeClr w14:val="tx1"/>
            </w14:solidFill>
          </w14:textFill>
        </w:rPr>
        <w:t>更加全面、专业的意见</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以及更科学、完善的</w:t>
      </w:r>
      <w:r>
        <w:rPr>
          <w:rFonts w:hint="eastAsia" w:ascii="宋体" w:hAnsi="宋体" w:eastAsia="宋体" w:cs="宋体"/>
          <w:color w:val="000000" w:themeColor="text1"/>
          <w:sz w:val="28"/>
          <w:szCs w:val="28"/>
          <w:shd w:val="clear" w:color="auto" w:fill="FFFFFF"/>
          <w14:textFill>
            <w14:solidFill>
              <w14:schemeClr w14:val="tx1"/>
            </w14:solidFill>
          </w14:textFill>
        </w:rPr>
        <w:t>评估指标体系</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p>
    <w:p>
      <w:pPr>
        <w:pStyle w:val="5"/>
        <w:widowControl/>
        <w:numPr>
          <w:ilvl w:val="0"/>
          <w:numId w:val="1"/>
        </w:numPr>
        <w:shd w:val="clear" w:color="auto" w:fill="FFFFFF"/>
        <w:spacing w:beforeAutospacing="0" w:afterAutospacing="0"/>
        <w:jc w:val="both"/>
        <w:rPr>
          <w:rFonts w:ascii="黑体" w:hAnsi="黑体" w:eastAsia="黑体" w:cs="黑体"/>
          <w:b/>
          <w:bCs/>
          <w:color w:val="000000" w:themeColor="text1"/>
          <w:sz w:val="28"/>
          <w:szCs w:val="28"/>
          <w:shd w:val="clear" w:color="auto" w:fill="FFFFFF"/>
          <w14:textFill>
            <w14:solidFill>
              <w14:schemeClr w14:val="tx1"/>
            </w14:solidFill>
          </w14:textFill>
        </w:rPr>
      </w:pPr>
      <w:r>
        <w:rPr>
          <w:rFonts w:ascii="黑体" w:hAnsi="黑体" w:eastAsia="黑体" w:cs="黑体"/>
          <w:b/>
          <w:bCs/>
          <w:color w:val="000000" w:themeColor="text1"/>
          <w:sz w:val="28"/>
          <w:szCs w:val="28"/>
          <w:shd w:val="clear" w:color="auto" w:fill="FFFFFF"/>
          <w14:textFill>
            <w14:solidFill>
              <w14:schemeClr w14:val="tx1"/>
            </w14:solidFill>
          </w14:textFill>
        </w:rPr>
        <w:t>试验验证的分析、综述报告，技术经济论证，预期的经济效益、社会效益和生态效益</w:t>
      </w:r>
    </w:p>
    <w:p>
      <w:pPr>
        <w:pStyle w:val="5"/>
        <w:shd w:val="clear" w:color="auto" w:fill="FFFFFF"/>
        <w:spacing w:beforeAutospacing="0" w:afterAutospacing="0"/>
        <w:ind w:firstLine="560" w:firstLineChars="200"/>
        <w:jc w:val="both"/>
        <w:rPr>
          <w:rFonts w:cs="宋体"/>
          <w:color w:val="000000" w:themeColor="text1"/>
          <w:sz w:val="28"/>
          <w:szCs w:val="28"/>
          <w:shd w:val="clear" w:color="auto" w:fill="FFFFFF"/>
          <w14:textFill>
            <w14:solidFill>
              <w14:schemeClr w14:val="tx1"/>
            </w14:solidFill>
          </w14:textFill>
        </w:rPr>
      </w:pPr>
      <w:r>
        <w:rPr>
          <w:rFonts w:hint="eastAsia" w:cs="宋体"/>
          <w:color w:val="000000" w:themeColor="text1"/>
          <w:sz w:val="28"/>
          <w:szCs w:val="28"/>
          <w:shd w:val="clear" w:color="auto" w:fill="FFFFFF"/>
          <w14:textFill>
            <w14:solidFill>
              <w14:schemeClr w14:val="tx1"/>
            </w14:solidFill>
          </w14:textFill>
        </w:rPr>
        <w:t>1.试验验证的分析、综述报告</w:t>
      </w:r>
    </w:p>
    <w:p>
      <w:pPr>
        <w:pStyle w:val="5"/>
        <w:shd w:val="clear" w:color="auto" w:fill="FFFFFF"/>
        <w:spacing w:beforeAutospacing="0" w:afterAutospacing="0"/>
        <w:ind w:firstLine="560" w:firstLineChars="200"/>
        <w:jc w:val="both"/>
        <w:rPr>
          <w:rFonts w:cs="宋体"/>
          <w:color w:val="000000" w:themeColor="text1"/>
          <w:sz w:val="28"/>
          <w:szCs w:val="28"/>
          <w:shd w:val="clear" w:color="auto" w:fill="FFFFFF"/>
          <w14:textFill>
            <w14:solidFill>
              <w14:schemeClr w14:val="tx1"/>
            </w14:solidFill>
          </w14:textFill>
        </w:rPr>
      </w:pPr>
      <w:r>
        <w:rPr>
          <w:rFonts w:hint="eastAsia" w:cs="宋体"/>
          <w:color w:val="000000" w:themeColor="text1"/>
          <w:sz w:val="28"/>
          <w:szCs w:val="28"/>
          <w:shd w:val="clear" w:color="auto" w:fill="FFFFFF"/>
          <w14:textFill>
            <w14:solidFill>
              <w14:schemeClr w14:val="tx1"/>
            </w14:solidFill>
          </w14:textFill>
        </w:rPr>
        <w:t>在团体标准的编制过程中，需要进行试验验证以确保标准的可行性和有效性。本标准</w:t>
      </w:r>
      <w:r>
        <w:rPr>
          <w:rFonts w:hint="eastAsia" w:cs="宋体"/>
          <w:color w:val="000000" w:themeColor="text1"/>
          <w:sz w:val="28"/>
          <w:szCs w:val="28"/>
          <w:shd w:val="clear" w:color="auto" w:fill="FFFFFF"/>
          <w:lang w:val="en-US" w:eastAsia="zh-CN"/>
          <w14:textFill>
            <w14:solidFill>
              <w14:schemeClr w14:val="tx1"/>
            </w14:solidFill>
          </w14:textFill>
        </w:rPr>
        <w:t>对</w:t>
      </w:r>
      <w:r>
        <w:rPr>
          <w:rFonts w:hint="eastAsia" w:cs="宋体"/>
          <w:color w:val="000000" w:themeColor="text1"/>
          <w:sz w:val="28"/>
          <w:szCs w:val="28"/>
          <w:shd w:val="clear" w:color="auto" w:fill="FFFFFF"/>
          <w14:textFill>
            <w14:solidFill>
              <w14:schemeClr w14:val="tx1"/>
            </w14:solidFill>
          </w14:textFill>
        </w:rPr>
        <w:t>北京国际青年营</w:t>
      </w:r>
      <w:r>
        <w:rPr>
          <w:rFonts w:hint="eastAsia" w:cs="宋体"/>
          <w:color w:val="000000" w:themeColor="text1"/>
          <w:sz w:val="28"/>
          <w:szCs w:val="28"/>
          <w:shd w:val="clear" w:color="auto" w:fill="FFFFFF"/>
          <w:lang w:eastAsia="zh-CN"/>
          <w14:textFill>
            <w14:solidFill>
              <w14:schemeClr w14:val="tx1"/>
            </w14:solidFill>
          </w14:textFill>
        </w:rPr>
        <w:t>、</w:t>
      </w:r>
      <w:r>
        <w:rPr>
          <w:rFonts w:hint="eastAsia" w:cs="宋体"/>
          <w:color w:val="000000" w:themeColor="text1"/>
          <w:sz w:val="28"/>
          <w:szCs w:val="28"/>
          <w:shd w:val="clear" w:color="auto" w:fill="FFFFFF"/>
          <w14:textFill>
            <w14:solidFill>
              <w14:schemeClr w14:val="tx1"/>
            </w14:solidFill>
          </w14:textFill>
        </w:rPr>
        <w:t>深圳源野国际探索教育营地、东莞花茶湾冠军</w:t>
      </w:r>
      <w:r>
        <w:rPr>
          <w:rFonts w:hint="eastAsia" w:cs="宋体"/>
          <w:color w:val="000000" w:themeColor="text1"/>
          <w:sz w:val="28"/>
          <w:szCs w:val="28"/>
          <w:shd w:val="clear" w:color="auto" w:fill="FFFFFF"/>
          <w:lang w:val="en-US" w:eastAsia="zh-CN"/>
          <w14:textFill>
            <w14:solidFill>
              <w14:schemeClr w14:val="tx1"/>
            </w14:solidFill>
          </w14:textFill>
        </w:rPr>
        <w:t>营地、惠州欢笑白鹭湖营地和武汉小蚂蚁部落营地等青少年户外营地的</w:t>
      </w:r>
      <w:r>
        <w:rPr>
          <w:rFonts w:hint="eastAsia" w:cs="宋体"/>
          <w:color w:val="000000" w:themeColor="text1"/>
          <w:sz w:val="28"/>
          <w:szCs w:val="28"/>
          <w:shd w:val="clear" w:color="auto" w:fill="FFFFFF"/>
          <w14:textFill>
            <w14:solidFill>
              <w14:schemeClr w14:val="tx1"/>
            </w14:solidFill>
          </w14:textFill>
        </w:rPr>
        <w:t>设施、管理、服务等方面进行评估和测试</w:t>
      </w:r>
      <w:r>
        <w:rPr>
          <w:rFonts w:hint="eastAsia" w:cs="宋体"/>
          <w:color w:val="000000" w:themeColor="text1"/>
          <w:sz w:val="28"/>
          <w:szCs w:val="28"/>
          <w:shd w:val="clear" w:color="auto" w:fill="FFFFFF"/>
          <w:lang w:eastAsia="zh-CN"/>
          <w14:textFill>
            <w14:solidFill>
              <w14:schemeClr w14:val="tx1"/>
            </w14:solidFill>
          </w14:textFill>
        </w:rPr>
        <w:t>，</w:t>
      </w:r>
      <w:r>
        <w:rPr>
          <w:rFonts w:hint="eastAsia" w:cs="宋体"/>
          <w:color w:val="000000" w:themeColor="text1"/>
          <w:sz w:val="28"/>
          <w:szCs w:val="28"/>
          <w:shd w:val="clear" w:color="auto" w:fill="FFFFFF"/>
          <w14:textFill>
            <w14:solidFill>
              <w14:schemeClr w14:val="tx1"/>
            </w14:solidFill>
          </w14:textFill>
        </w:rPr>
        <w:t>通过分析试验验证的结果，对该团体标准的可行性和有效性进行确认，为后续的技术经济论证和预期效益分析提供了依据。</w:t>
      </w:r>
    </w:p>
    <w:p>
      <w:pPr>
        <w:pStyle w:val="5"/>
        <w:shd w:val="clear" w:color="auto" w:fill="FFFFFF"/>
        <w:spacing w:beforeAutospacing="0" w:afterAutospacing="0"/>
        <w:ind w:firstLine="560" w:firstLineChars="200"/>
        <w:jc w:val="both"/>
        <w:rPr>
          <w:rFonts w:cs="宋体"/>
          <w:color w:val="000000" w:themeColor="text1"/>
          <w:sz w:val="28"/>
          <w:szCs w:val="28"/>
          <w:shd w:val="clear" w:color="auto" w:fill="FFFFFF"/>
          <w14:textFill>
            <w14:solidFill>
              <w14:schemeClr w14:val="tx1"/>
            </w14:solidFill>
          </w14:textFill>
        </w:rPr>
      </w:pPr>
      <w:r>
        <w:rPr>
          <w:rFonts w:hint="eastAsia" w:cs="宋体"/>
          <w:color w:val="000000" w:themeColor="text1"/>
          <w:sz w:val="28"/>
          <w:szCs w:val="28"/>
          <w:shd w:val="clear" w:color="auto" w:fill="FFFFFF"/>
          <w14:textFill>
            <w14:solidFill>
              <w14:schemeClr w14:val="tx1"/>
            </w14:solidFill>
          </w14:textFill>
        </w:rPr>
        <w:t>2.技术经济论证</w:t>
      </w:r>
    </w:p>
    <w:p>
      <w:pPr>
        <w:pStyle w:val="5"/>
        <w:shd w:val="clear" w:color="auto" w:fill="FFFFFF"/>
        <w:spacing w:beforeAutospacing="0" w:afterAutospacing="0"/>
        <w:ind w:firstLine="560" w:firstLineChars="200"/>
        <w:jc w:val="both"/>
        <w:rPr>
          <w:rFonts w:cs="宋体"/>
          <w:color w:val="000000" w:themeColor="text1"/>
          <w:sz w:val="28"/>
          <w:szCs w:val="28"/>
          <w:shd w:val="clear" w:color="auto" w:fill="FFFFFF"/>
          <w14:textFill>
            <w14:solidFill>
              <w14:schemeClr w14:val="tx1"/>
            </w14:solidFill>
          </w14:textFill>
        </w:rPr>
      </w:pPr>
      <w:r>
        <w:rPr>
          <w:rFonts w:hint="eastAsia" w:cs="宋体"/>
          <w:color w:val="000000" w:themeColor="text1"/>
          <w:sz w:val="28"/>
          <w:szCs w:val="28"/>
          <w:shd w:val="clear" w:color="auto" w:fill="FFFFFF"/>
          <w14:textFill>
            <w14:solidFill>
              <w14:schemeClr w14:val="tx1"/>
            </w14:solidFill>
          </w14:textFill>
        </w:rPr>
        <w:t>在该团体标准的编制过程中，主要通过市场调研、成本分析、效益评估等方式对营地机构的投资成本、运营成本、市场效益等方面进行评估，以实现技术经济论证。通过技术经济论证，对该团体标准的经济效益和社会效益进行了全面评估，为标准的推广和应用提供依据。</w:t>
      </w:r>
    </w:p>
    <w:p>
      <w:pPr>
        <w:pStyle w:val="5"/>
        <w:shd w:val="clear" w:color="auto" w:fill="FFFFFF"/>
        <w:spacing w:beforeAutospacing="0" w:afterAutospacing="0"/>
        <w:ind w:firstLine="560" w:firstLineChars="200"/>
        <w:jc w:val="both"/>
        <w:rPr>
          <w:rFonts w:cs="宋体"/>
          <w:color w:val="000000" w:themeColor="text1"/>
          <w:sz w:val="28"/>
          <w:szCs w:val="28"/>
          <w:shd w:val="clear" w:color="auto" w:fill="FFFFFF"/>
          <w14:textFill>
            <w14:solidFill>
              <w14:schemeClr w14:val="tx1"/>
            </w14:solidFill>
          </w14:textFill>
        </w:rPr>
      </w:pPr>
      <w:r>
        <w:rPr>
          <w:rFonts w:hint="eastAsia" w:cs="宋体"/>
          <w:color w:val="000000" w:themeColor="text1"/>
          <w:sz w:val="28"/>
          <w:szCs w:val="28"/>
          <w:shd w:val="clear" w:color="auto" w:fill="FFFFFF"/>
          <w14:textFill>
            <w14:solidFill>
              <w14:schemeClr w14:val="tx1"/>
            </w14:solidFill>
          </w14:textFill>
        </w:rPr>
        <w:t>3.预期效益</w:t>
      </w:r>
    </w:p>
    <w:p>
      <w:pPr>
        <w:pStyle w:val="5"/>
        <w:shd w:val="clear" w:color="auto" w:fill="FFFFFF"/>
        <w:spacing w:beforeAutospacing="0" w:afterAutospacing="0"/>
        <w:ind w:firstLine="560" w:firstLineChars="200"/>
        <w:jc w:val="both"/>
        <w:rPr>
          <w:rFonts w:cs="宋体"/>
          <w:color w:val="000000" w:themeColor="text1"/>
          <w:sz w:val="28"/>
          <w:szCs w:val="28"/>
          <w:shd w:val="clear" w:color="auto" w:fill="FFFFFF"/>
          <w14:textFill>
            <w14:solidFill>
              <w14:schemeClr w14:val="tx1"/>
            </w14:solidFill>
          </w14:textFill>
        </w:rPr>
      </w:pPr>
      <w:r>
        <w:rPr>
          <w:rFonts w:hint="eastAsia" w:cs="宋体"/>
          <w:color w:val="000000" w:themeColor="text1"/>
          <w:sz w:val="28"/>
          <w:szCs w:val="28"/>
          <w:shd w:val="clear" w:color="auto" w:fill="FFFFFF"/>
          <w14:textFill>
            <w14:solidFill>
              <w14:schemeClr w14:val="tx1"/>
            </w14:solidFill>
          </w14:textFill>
        </w:rPr>
        <w:t>3.1 经济效益</w:t>
      </w:r>
    </w:p>
    <w:p>
      <w:pPr>
        <w:pStyle w:val="5"/>
        <w:shd w:val="clear" w:color="auto" w:fill="FFFFFF"/>
        <w:spacing w:beforeAutospacing="0" w:afterAutospacing="0"/>
        <w:ind w:firstLine="560" w:firstLineChars="200"/>
        <w:jc w:val="both"/>
        <w:rPr>
          <w:rFonts w:cs="宋体"/>
          <w:color w:val="000000" w:themeColor="text1"/>
          <w:sz w:val="28"/>
          <w:szCs w:val="28"/>
          <w:shd w:val="clear" w:color="auto" w:fill="FFFFFF"/>
          <w14:textFill>
            <w14:solidFill>
              <w14:schemeClr w14:val="tx1"/>
            </w14:solidFill>
          </w14:textFill>
        </w:rPr>
      </w:pPr>
      <w:r>
        <w:rPr>
          <w:rFonts w:hint="eastAsia" w:cs="宋体"/>
          <w:color w:val="000000" w:themeColor="text1"/>
          <w:sz w:val="28"/>
          <w:szCs w:val="28"/>
          <w:shd w:val="clear" w:color="auto" w:fill="FFFFFF"/>
          <w14:textFill>
            <w14:solidFill>
              <w14:schemeClr w14:val="tx1"/>
            </w14:solidFill>
          </w14:textFill>
        </w:rPr>
        <w:t>首先，该标准可以提高户外营地的设施水平和服务质量，吸引更多的青少年参与户外活动，增加户外营地的收益。其次，该标准可以促进户外营地的规范化管理，提高行业的整体水平和竞争力，为整个行业带来更多的经济效益。</w:t>
      </w:r>
    </w:p>
    <w:p>
      <w:pPr>
        <w:pStyle w:val="5"/>
        <w:shd w:val="clear" w:color="auto" w:fill="FFFFFF"/>
        <w:spacing w:beforeAutospacing="0" w:afterAutospacing="0"/>
        <w:ind w:firstLine="560" w:firstLineChars="200"/>
        <w:jc w:val="both"/>
        <w:rPr>
          <w:rFonts w:cs="宋体"/>
          <w:color w:val="000000" w:themeColor="text1"/>
          <w:sz w:val="28"/>
          <w:szCs w:val="28"/>
          <w:shd w:val="clear" w:color="auto" w:fill="FFFFFF"/>
          <w14:textFill>
            <w14:solidFill>
              <w14:schemeClr w14:val="tx1"/>
            </w14:solidFill>
          </w14:textFill>
        </w:rPr>
      </w:pPr>
      <w:r>
        <w:rPr>
          <w:rFonts w:hint="eastAsia" w:cs="宋体"/>
          <w:color w:val="000000" w:themeColor="text1"/>
          <w:sz w:val="28"/>
          <w:szCs w:val="28"/>
          <w:shd w:val="clear" w:color="auto" w:fill="FFFFFF"/>
          <w14:textFill>
            <w14:solidFill>
              <w14:schemeClr w14:val="tx1"/>
            </w14:solidFill>
          </w14:textFill>
        </w:rPr>
        <w:t>3.2 社会效益</w:t>
      </w:r>
    </w:p>
    <w:p>
      <w:pPr>
        <w:pStyle w:val="5"/>
        <w:shd w:val="clear" w:color="auto" w:fill="FFFFFF"/>
        <w:spacing w:beforeAutospacing="0" w:afterAutospacing="0"/>
        <w:ind w:firstLine="560" w:firstLineChars="200"/>
        <w:jc w:val="both"/>
        <w:rPr>
          <w:rFonts w:cs="宋体"/>
          <w:color w:val="000000" w:themeColor="text1"/>
          <w:sz w:val="28"/>
          <w:szCs w:val="28"/>
          <w:shd w:val="clear" w:color="auto" w:fill="FFFFFF"/>
          <w14:textFill>
            <w14:solidFill>
              <w14:schemeClr w14:val="tx1"/>
            </w14:solidFill>
          </w14:textFill>
        </w:rPr>
      </w:pPr>
      <w:r>
        <w:rPr>
          <w:rFonts w:hint="eastAsia" w:cs="宋体"/>
          <w:color w:val="000000" w:themeColor="text1"/>
          <w:sz w:val="28"/>
          <w:szCs w:val="28"/>
          <w:shd w:val="clear" w:color="auto" w:fill="FFFFFF"/>
          <w14:textFill>
            <w14:solidFill>
              <w14:schemeClr w14:val="tx1"/>
            </w14:solidFill>
          </w14:textFill>
        </w:rPr>
        <w:t>首先，该标准可以提高青少年户外活动的安全性和规范性，保障青少年的身心健康和全面发展。其次，该标准可以促进青少年户外营地教育的普及和发展，提高青少年的综合素质和社会适应能力。</w:t>
      </w:r>
    </w:p>
    <w:p>
      <w:pPr>
        <w:pStyle w:val="5"/>
        <w:shd w:val="clear" w:color="auto" w:fill="FFFFFF"/>
        <w:spacing w:beforeAutospacing="0" w:afterAutospacing="0"/>
        <w:ind w:firstLine="560" w:firstLineChars="200"/>
        <w:jc w:val="both"/>
        <w:rPr>
          <w:rFonts w:cs="宋体"/>
          <w:color w:val="000000" w:themeColor="text1"/>
          <w:sz w:val="28"/>
          <w:szCs w:val="28"/>
          <w:shd w:val="clear" w:color="auto" w:fill="FFFFFF"/>
          <w14:textFill>
            <w14:solidFill>
              <w14:schemeClr w14:val="tx1"/>
            </w14:solidFill>
          </w14:textFill>
        </w:rPr>
      </w:pPr>
      <w:r>
        <w:rPr>
          <w:rFonts w:hint="eastAsia" w:cs="宋体"/>
          <w:color w:val="000000" w:themeColor="text1"/>
          <w:sz w:val="28"/>
          <w:szCs w:val="28"/>
          <w:shd w:val="clear" w:color="auto" w:fill="FFFFFF"/>
          <w14:textFill>
            <w14:solidFill>
              <w14:schemeClr w14:val="tx1"/>
            </w14:solidFill>
          </w14:textFill>
        </w:rPr>
        <w:t>3.3生态效益</w:t>
      </w:r>
    </w:p>
    <w:p>
      <w:pPr>
        <w:pStyle w:val="5"/>
        <w:widowControl/>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cs="宋体"/>
          <w:color w:val="000000" w:themeColor="text1"/>
          <w:sz w:val="28"/>
          <w:szCs w:val="28"/>
          <w:shd w:val="clear" w:color="auto" w:fill="FFFFFF"/>
          <w14:textFill>
            <w14:solidFill>
              <w14:schemeClr w14:val="tx1"/>
            </w14:solidFill>
          </w14:textFill>
        </w:rPr>
        <w:t>通过规范户外营地的设施建设和运营管理，可以减少对自然环境的破坏和污染，保护生态环境。同时，户外活动也可以</w:t>
      </w:r>
      <w:r>
        <w:rPr>
          <w:rFonts w:hint="eastAsia" w:cs="宋体"/>
          <w:color w:val="000000" w:themeColor="text1"/>
          <w:sz w:val="28"/>
          <w:szCs w:val="28"/>
          <w:shd w:val="clear" w:color="auto" w:fill="FFFFFF"/>
          <w:lang w:val="en-US" w:eastAsia="zh-CN"/>
          <w14:textFill>
            <w14:solidFill>
              <w14:schemeClr w14:val="tx1"/>
            </w14:solidFill>
          </w14:textFill>
        </w:rPr>
        <w:t>提高</w:t>
      </w:r>
      <w:r>
        <w:rPr>
          <w:rFonts w:hint="eastAsia" w:cs="宋体"/>
          <w:color w:val="000000" w:themeColor="text1"/>
          <w:sz w:val="28"/>
          <w:szCs w:val="28"/>
          <w:shd w:val="clear" w:color="auto" w:fill="FFFFFF"/>
          <w14:textFill>
            <w14:solidFill>
              <w14:schemeClr w14:val="tx1"/>
            </w14:solidFill>
          </w14:textFill>
        </w:rPr>
        <w:t>青少年的环保意识和</w:t>
      </w:r>
      <w:r>
        <w:rPr>
          <w:rFonts w:hint="eastAsia" w:cs="宋体"/>
          <w:color w:val="000000" w:themeColor="text1"/>
          <w:sz w:val="28"/>
          <w:szCs w:val="28"/>
          <w:shd w:val="clear" w:color="auto" w:fill="FFFFFF"/>
          <w:lang w:val="en-US" w:eastAsia="zh-CN"/>
          <w14:textFill>
            <w14:solidFill>
              <w14:schemeClr w14:val="tx1"/>
            </w14:solidFill>
          </w14:textFill>
        </w:rPr>
        <w:t>促进</w:t>
      </w:r>
      <w:r>
        <w:rPr>
          <w:rFonts w:hint="eastAsia" w:cs="宋体"/>
          <w:color w:val="000000" w:themeColor="text1"/>
          <w:sz w:val="28"/>
          <w:szCs w:val="28"/>
          <w:shd w:val="clear" w:color="auto" w:fill="FFFFFF"/>
          <w14:textFill>
            <w14:solidFill>
              <w14:schemeClr w14:val="tx1"/>
            </w14:solidFill>
          </w14:textFill>
        </w:rPr>
        <w:t>生态保护行为，为生态环境的保护做出贡献。</w:t>
      </w:r>
    </w:p>
    <w:p>
      <w:pPr>
        <w:pStyle w:val="5"/>
        <w:widowControl/>
        <w:numPr>
          <w:ilvl w:val="0"/>
          <w:numId w:val="1"/>
        </w:numPr>
        <w:shd w:val="clear" w:color="auto" w:fill="FFFFFF"/>
        <w:spacing w:beforeAutospacing="0" w:afterAutospacing="0"/>
        <w:jc w:val="both"/>
        <w:rPr>
          <w:rFonts w:ascii="黑体" w:hAnsi="黑体" w:eastAsia="黑体" w:cs="黑体"/>
          <w:b/>
          <w:bCs/>
          <w:color w:val="000000" w:themeColor="text1"/>
          <w:sz w:val="28"/>
          <w:szCs w:val="28"/>
          <w:shd w:val="clear" w:color="auto" w:fill="FFFFFF"/>
          <w14:textFill>
            <w14:solidFill>
              <w14:schemeClr w14:val="tx1"/>
            </w14:solidFill>
          </w14:textFill>
        </w:rPr>
      </w:pPr>
      <w:r>
        <w:rPr>
          <w:rFonts w:hint="eastAsia" w:ascii="黑体" w:hAnsi="黑体" w:eastAsia="黑体" w:cs="黑体"/>
          <w:b/>
          <w:bCs/>
          <w:color w:val="000000" w:themeColor="text1"/>
          <w:sz w:val="28"/>
          <w:szCs w:val="28"/>
          <w:shd w:val="clear" w:color="auto" w:fill="FFFFFF"/>
          <w14:textFill>
            <w14:solidFill>
              <w14:schemeClr w14:val="tx1"/>
            </w14:solidFill>
          </w14:textFill>
        </w:rPr>
        <w:t>与国际、国外同类标准技术内容的对比情况，或者与测试的国外样品、样机的有关数据对比情况</w:t>
      </w:r>
    </w:p>
    <w:p>
      <w:pPr>
        <w:pStyle w:val="5"/>
        <w:shd w:val="clear" w:color="auto" w:fill="FFFFFF"/>
        <w:spacing w:beforeAutospacing="0" w:afterAutospacing="0"/>
        <w:ind w:firstLine="560" w:firstLineChars="200"/>
        <w:jc w:val="both"/>
        <w:rPr>
          <w:rFonts w:hint="eastAsia" w:cs="宋体" w:eastAsiaTheme="minorEastAsia"/>
          <w:color w:val="000000" w:themeColor="text1"/>
          <w:sz w:val="28"/>
          <w:szCs w:val="28"/>
          <w:shd w:val="clear" w:color="auto" w:fill="FFFFFF"/>
          <w:lang w:eastAsia="zh-CN"/>
          <w14:textFill>
            <w14:solidFill>
              <w14:schemeClr w14:val="tx1"/>
            </w14:solidFill>
          </w14:textFill>
        </w:rPr>
      </w:pPr>
      <w:r>
        <w:rPr>
          <w:rFonts w:hint="eastAsia" w:cs="宋体"/>
          <w:color w:val="000000" w:themeColor="text1"/>
          <w:sz w:val="28"/>
          <w:szCs w:val="28"/>
          <w:shd w:val="clear" w:color="auto" w:fill="FFFFFF"/>
          <w14:textFill>
            <w14:solidFill>
              <w14:schemeClr w14:val="tx1"/>
            </w14:solidFill>
          </w14:textFill>
        </w:rPr>
        <w:t>无</w:t>
      </w:r>
      <w:r>
        <w:rPr>
          <w:rFonts w:hint="eastAsia" w:cs="宋体"/>
          <w:color w:val="000000" w:themeColor="text1"/>
          <w:sz w:val="28"/>
          <w:szCs w:val="28"/>
          <w:shd w:val="clear" w:color="auto" w:fill="FFFFFF"/>
          <w:lang w:eastAsia="zh-CN"/>
          <w14:textFill>
            <w14:solidFill>
              <w14:schemeClr w14:val="tx1"/>
            </w14:solidFill>
          </w14:textFill>
        </w:rPr>
        <w:t>。</w:t>
      </w:r>
    </w:p>
    <w:p>
      <w:pPr>
        <w:pStyle w:val="5"/>
        <w:widowControl/>
        <w:numPr>
          <w:ilvl w:val="0"/>
          <w:numId w:val="1"/>
        </w:numPr>
        <w:shd w:val="clear" w:color="auto" w:fill="FFFFFF"/>
        <w:spacing w:beforeAutospacing="0" w:afterAutospacing="0"/>
        <w:jc w:val="both"/>
        <w:rPr>
          <w:rFonts w:ascii="黑体" w:hAnsi="黑体" w:eastAsia="黑体" w:cs="黑体"/>
          <w:b/>
          <w:bCs/>
          <w:color w:val="000000" w:themeColor="text1"/>
          <w:sz w:val="28"/>
          <w:szCs w:val="28"/>
          <w:shd w:val="clear" w:color="auto" w:fill="FFFFFF"/>
          <w14:textFill>
            <w14:solidFill>
              <w14:schemeClr w14:val="tx1"/>
            </w14:solidFill>
          </w14:textFill>
        </w:rPr>
      </w:pPr>
      <w:r>
        <w:rPr>
          <w:rFonts w:hint="eastAsia" w:ascii="黑体" w:hAnsi="黑体" w:eastAsia="黑体" w:cs="黑体"/>
          <w:b/>
          <w:bCs/>
          <w:color w:val="000000" w:themeColor="text1"/>
          <w:sz w:val="28"/>
          <w:szCs w:val="28"/>
          <w:shd w:val="clear" w:color="auto" w:fill="FFFFFF"/>
          <w14:textFill>
            <w14:solidFill>
              <w14:schemeClr w14:val="tx1"/>
            </w14:solidFill>
          </w14:textFill>
        </w:rPr>
        <w:t>与有关法律、行政法规和相关标准的关系</w:t>
      </w:r>
    </w:p>
    <w:p>
      <w:pPr>
        <w:pStyle w:val="17"/>
        <w:widowControl/>
        <w:shd w:val="clear" w:color="auto" w:fill="FFFFFF"/>
        <w:ind w:left="420"/>
        <w:jc w:val="both"/>
        <w:rPr>
          <w:rFonts w:ascii="宋体" w:hAnsi="宋体" w:eastAsia="宋体" w:cs="黑体"/>
          <w:bCs/>
          <w:color w:val="333333"/>
          <w:sz w:val="28"/>
          <w:szCs w:val="28"/>
          <w:shd w:val="clear" w:color="auto" w:fill="FFFFFF"/>
        </w:rPr>
      </w:pPr>
      <w:r>
        <w:rPr>
          <w:rFonts w:hint="eastAsia" w:ascii="宋体" w:hAnsi="宋体" w:eastAsia="宋体" w:cs="黑体"/>
          <w:bCs/>
          <w:color w:val="333333"/>
          <w:sz w:val="28"/>
          <w:szCs w:val="28"/>
          <w:shd w:val="clear" w:color="auto" w:fill="FFFFFF"/>
        </w:rPr>
        <w:t>本标准与现行相关法律、法规、规章及相关标准协调一致。</w:t>
      </w:r>
    </w:p>
    <w:p>
      <w:pPr>
        <w:pStyle w:val="5"/>
        <w:widowControl/>
        <w:numPr>
          <w:ilvl w:val="0"/>
          <w:numId w:val="1"/>
        </w:numPr>
        <w:shd w:val="clear" w:color="auto" w:fill="FFFFFF"/>
        <w:spacing w:beforeAutospacing="0" w:afterAutospacing="0"/>
        <w:jc w:val="both"/>
        <w:rPr>
          <w:rFonts w:ascii="黑体" w:hAnsi="黑体" w:eastAsia="黑体" w:cs="黑体"/>
          <w:b/>
          <w:bCs/>
          <w:color w:val="000000" w:themeColor="text1"/>
          <w:sz w:val="28"/>
          <w:szCs w:val="28"/>
          <w:shd w:val="clear" w:color="auto" w:fill="FFFFFF"/>
          <w14:textFill>
            <w14:solidFill>
              <w14:schemeClr w14:val="tx1"/>
            </w14:solidFill>
          </w14:textFill>
        </w:rPr>
      </w:pPr>
      <w:r>
        <w:rPr>
          <w:rFonts w:hint="eastAsia" w:ascii="黑体" w:hAnsi="黑体" w:eastAsia="黑体" w:cs="黑体"/>
          <w:b/>
          <w:bCs/>
          <w:color w:val="000000" w:themeColor="text1"/>
          <w:sz w:val="28"/>
          <w:szCs w:val="28"/>
          <w:shd w:val="clear" w:color="auto" w:fill="FFFFFF"/>
          <w14:textFill>
            <w14:solidFill>
              <w14:schemeClr w14:val="tx1"/>
            </w14:solidFill>
          </w14:textFill>
        </w:rPr>
        <w:t>与国际标准化组织、其他国家或者地区有关法律法规和标准的比对分析</w:t>
      </w:r>
    </w:p>
    <w:p>
      <w:pPr>
        <w:pStyle w:val="5"/>
        <w:widowControl/>
        <w:shd w:val="clear" w:color="auto" w:fill="FFFFFF"/>
        <w:spacing w:beforeAutospacing="0" w:afterAutospacing="0"/>
        <w:ind w:firstLine="560" w:firstLineChars="200"/>
        <w:jc w:val="both"/>
        <w:rPr>
          <w:rFonts w:ascii="黑体" w:hAnsi="黑体" w:eastAsia="黑体" w:cs="黑体"/>
          <w:b/>
          <w:bCs/>
          <w:color w:val="000000" w:themeColor="text1"/>
          <w:sz w:val="28"/>
          <w:szCs w:val="28"/>
          <w:shd w:val="clear" w:color="auto" w:fill="FFFFFF"/>
          <w14:textFill>
            <w14:solidFill>
              <w14:schemeClr w14:val="tx1"/>
            </w14:solidFill>
          </w14:textFill>
        </w:rPr>
      </w:pPr>
      <w:r>
        <w:rPr>
          <w:rFonts w:hint="eastAsia" w:cs="宋体"/>
          <w:color w:val="000000" w:themeColor="text1"/>
          <w:sz w:val="28"/>
          <w:szCs w:val="28"/>
          <w:shd w:val="clear" w:color="auto" w:fill="FFFFFF"/>
          <w14:textFill>
            <w14:solidFill>
              <w14:schemeClr w14:val="tx1"/>
            </w14:solidFill>
          </w14:textFill>
        </w:rPr>
        <w:t>美国营地协会（American Camp Association）营地评定标准（A</w:t>
      </w:r>
      <w:r>
        <w:rPr>
          <w:rFonts w:cs="宋体"/>
          <w:color w:val="000000" w:themeColor="text1"/>
          <w:sz w:val="28"/>
          <w:szCs w:val="28"/>
          <w:shd w:val="clear" w:color="auto" w:fill="FFFFFF"/>
          <w14:textFill>
            <w14:solidFill>
              <w14:schemeClr w14:val="tx1"/>
            </w14:solidFill>
          </w14:textFill>
        </w:rPr>
        <w:t xml:space="preserve">CA </w:t>
      </w:r>
      <w:r>
        <w:rPr>
          <w:rFonts w:hint="eastAsia" w:cs="宋体"/>
          <w:color w:val="000000" w:themeColor="text1"/>
          <w:sz w:val="28"/>
          <w:szCs w:val="28"/>
          <w:shd w:val="clear" w:color="auto" w:fill="FFFFFF"/>
          <w14:textFill>
            <w14:solidFill>
              <w14:schemeClr w14:val="tx1"/>
            </w14:solidFill>
          </w14:textFill>
        </w:rPr>
        <w:t>standards）包括以下几个方面：健康和安全、营地员工、节目和活动 、设施和设备 、管理和组织、营养和饮食、精神关怀。评估结果将根据营地的表现分为不同的等级，等级越高表示营地的质量越高。相同点为都强调营地提供安全、卫生、舒适的设施和活动，注重管理和组织，强调教育和成长价值，以及在环保和社区服务方面发挥积极作用。不同点：美国的营地评定标准在健康和安全、员工、节目和活动、设施和设备、管理和组织、营养和饮食以及精神关怀等方面都有详细的要求。而本标准则更注重营地在场地规划、基础设施、公共服务设施等方面的规范，强调营地活动对社会、经济的贡献。且本标准将更有利于提高青少年户外营地的建设和服务水平，更适合中国的国情。</w:t>
      </w:r>
    </w:p>
    <w:p>
      <w:pPr>
        <w:pStyle w:val="5"/>
        <w:widowControl/>
        <w:numPr>
          <w:ilvl w:val="0"/>
          <w:numId w:val="1"/>
        </w:numPr>
        <w:shd w:val="clear" w:color="auto" w:fill="FFFFFF"/>
        <w:spacing w:beforeAutospacing="0" w:afterAutospacing="0"/>
        <w:jc w:val="both"/>
        <w:rPr>
          <w:rFonts w:ascii="黑体" w:hAnsi="黑体" w:eastAsia="黑体" w:cs="黑体"/>
          <w:b/>
          <w:bCs/>
          <w:color w:val="000000" w:themeColor="text1"/>
          <w:sz w:val="28"/>
          <w:szCs w:val="28"/>
          <w:shd w:val="clear" w:color="auto" w:fill="FFFFFF"/>
          <w14:textFill>
            <w14:solidFill>
              <w14:schemeClr w14:val="tx1"/>
            </w14:solidFill>
          </w14:textFill>
        </w:rPr>
      </w:pPr>
      <w:r>
        <w:rPr>
          <w:rFonts w:hint="eastAsia" w:ascii="黑体" w:hAnsi="黑体" w:eastAsia="黑体" w:cs="黑体"/>
          <w:b/>
          <w:bCs/>
          <w:color w:val="000000" w:themeColor="text1"/>
          <w:sz w:val="28"/>
          <w:szCs w:val="28"/>
          <w:shd w:val="clear" w:color="auto" w:fill="FFFFFF"/>
          <w14:textFill>
            <w14:solidFill>
              <w14:schemeClr w14:val="tx1"/>
            </w14:solidFill>
          </w14:textFill>
        </w:rPr>
        <w:t>重大分歧意见的处理过程、处理意见及其依据</w:t>
      </w:r>
    </w:p>
    <w:p>
      <w:pPr>
        <w:pStyle w:val="5"/>
        <w:widowControl/>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本标准的制定过程中未出现重大的分歧意见。</w:t>
      </w:r>
    </w:p>
    <w:p>
      <w:pPr>
        <w:pStyle w:val="5"/>
        <w:widowControl/>
        <w:numPr>
          <w:ilvl w:val="0"/>
          <w:numId w:val="1"/>
        </w:numPr>
        <w:shd w:val="clear" w:color="auto" w:fill="FFFFFF"/>
        <w:spacing w:beforeAutospacing="0" w:afterAutospacing="0"/>
        <w:jc w:val="both"/>
        <w:rPr>
          <w:rFonts w:ascii="黑体" w:hAnsi="黑体" w:eastAsia="黑体" w:cs="黑体"/>
          <w:b/>
          <w:bCs/>
          <w:color w:val="000000" w:themeColor="text1"/>
          <w:sz w:val="28"/>
          <w:szCs w:val="28"/>
          <w:shd w:val="clear" w:color="auto" w:fill="FFFFFF"/>
          <w14:textFill>
            <w14:solidFill>
              <w14:schemeClr w14:val="tx1"/>
            </w14:solidFill>
          </w14:textFill>
        </w:rPr>
      </w:pPr>
      <w:r>
        <w:rPr>
          <w:rFonts w:hint="eastAsia" w:ascii="黑体" w:hAnsi="黑体" w:eastAsia="黑体" w:cs="黑体"/>
          <w:b/>
          <w:bCs/>
          <w:color w:val="000000" w:themeColor="text1"/>
          <w:sz w:val="28"/>
          <w:szCs w:val="28"/>
          <w:shd w:val="clear" w:color="auto" w:fill="FFFFFF"/>
          <w14:textFill>
            <w14:solidFill>
              <w14:schemeClr w14:val="tx1"/>
            </w14:solidFill>
          </w14:textFill>
        </w:rPr>
        <w:t>涉及专利的有关说明</w:t>
      </w:r>
    </w:p>
    <w:p>
      <w:pPr>
        <w:pStyle w:val="5"/>
        <w:widowControl/>
        <w:shd w:val="clear" w:color="auto" w:fill="FFFFFF"/>
        <w:spacing w:beforeAutospacing="0" w:afterAutospacing="0"/>
        <w:ind w:left="420"/>
        <w:jc w:val="both"/>
        <w:rPr>
          <w:rFonts w:hint="eastAsia" w:ascii="宋体" w:hAnsi="宋体" w:eastAsia="宋体" w:cs="宋体"/>
          <w:color w:val="000000" w:themeColor="text1"/>
          <w:sz w:val="28"/>
          <w:szCs w:val="28"/>
          <w:shd w:val="clear" w:color="auto" w:fill="FFFFFF"/>
          <w:lang w:eastAsia="zh-CN"/>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无</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p>
    <w:p>
      <w:pPr>
        <w:pStyle w:val="5"/>
        <w:widowControl/>
        <w:numPr>
          <w:ilvl w:val="0"/>
          <w:numId w:val="1"/>
        </w:numPr>
        <w:shd w:val="clear" w:color="auto" w:fill="FFFFFF"/>
        <w:spacing w:beforeAutospacing="0" w:afterAutospacing="0"/>
        <w:jc w:val="both"/>
        <w:rPr>
          <w:rFonts w:ascii="黑体" w:hAnsi="黑体" w:eastAsia="黑体" w:cs="黑体"/>
          <w:b/>
          <w:bCs/>
          <w:color w:val="000000" w:themeColor="text1"/>
          <w:sz w:val="28"/>
          <w:szCs w:val="28"/>
          <w:shd w:val="clear" w:color="auto" w:fill="FFFFFF"/>
          <w14:textFill>
            <w14:solidFill>
              <w14:schemeClr w14:val="tx1"/>
            </w14:solidFill>
          </w14:textFill>
        </w:rPr>
      </w:pPr>
      <w:r>
        <w:rPr>
          <w:rFonts w:hint="eastAsia" w:ascii="黑体" w:hAnsi="黑体" w:eastAsia="黑体" w:cs="黑体"/>
          <w:b/>
          <w:bCs/>
          <w:color w:val="000000" w:themeColor="text1"/>
          <w:sz w:val="28"/>
          <w:szCs w:val="28"/>
          <w:shd w:val="clear" w:color="auto" w:fill="FFFFFF"/>
          <w14:textFill>
            <w14:solidFill>
              <w14:schemeClr w14:val="tx1"/>
            </w14:solidFill>
          </w14:textFill>
        </w:rPr>
        <w:t>实施标准的要求，以及组织措施、技术措施、过渡期和实施日期的建议等措施建议</w:t>
      </w:r>
    </w:p>
    <w:p>
      <w:pPr>
        <w:pStyle w:val="5"/>
        <w:widowControl/>
        <w:numPr>
          <w:ilvl w:val="0"/>
          <w:numId w:val="7"/>
        </w:numPr>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实施要求</w:t>
      </w:r>
    </w:p>
    <w:p>
      <w:pPr>
        <w:pStyle w:val="5"/>
        <w:shd w:val="clear" w:color="auto" w:fill="FFFFFF"/>
        <w:spacing w:beforeAutospacing="0" w:afterAutospacing="0"/>
        <w:ind w:firstLine="560" w:firstLineChars="200"/>
        <w:jc w:val="both"/>
        <w:rPr>
          <w:rFonts w:cs="宋体"/>
          <w:color w:val="000000" w:themeColor="text1"/>
          <w:sz w:val="28"/>
          <w:szCs w:val="28"/>
          <w:shd w:val="clear" w:color="auto" w:fill="FFFFFF"/>
          <w14:textFill>
            <w14:solidFill>
              <w14:schemeClr w14:val="tx1"/>
            </w14:solidFill>
          </w14:textFill>
        </w:rPr>
      </w:pPr>
      <w:r>
        <w:rPr>
          <w:rFonts w:hint="eastAsia" w:cs="宋体"/>
          <w:color w:val="000000" w:themeColor="text1"/>
          <w:sz w:val="28"/>
          <w:szCs w:val="28"/>
          <w:shd w:val="clear" w:color="auto" w:fill="FFFFFF"/>
          <w14:textFill>
            <w14:solidFill>
              <w14:schemeClr w14:val="tx1"/>
            </w14:solidFill>
          </w14:textFill>
        </w:rPr>
        <w:t>在标准的实施过程中，首先，需要明确青少年户外营地、相关政府部门、行业协会等各实施主体的责任；其次，需要制定详细的实施计划和时间表，确保各项工作的有序推进；</w:t>
      </w:r>
      <w:r>
        <w:rPr>
          <w:rFonts w:hint="eastAsia" w:cs="宋体"/>
          <w:color w:val="000000" w:themeColor="text1"/>
          <w:sz w:val="28"/>
          <w:szCs w:val="28"/>
          <w:shd w:val="clear" w:color="auto" w:fill="FFFFFF"/>
          <w:lang w:val="en-US" w:eastAsia="zh-CN"/>
          <w14:textFill>
            <w14:solidFill>
              <w14:schemeClr w14:val="tx1"/>
            </w14:solidFill>
          </w14:textFill>
        </w:rPr>
        <w:t>再次</w:t>
      </w:r>
      <w:r>
        <w:rPr>
          <w:rFonts w:hint="eastAsia" w:cs="宋体"/>
          <w:color w:val="000000" w:themeColor="text1"/>
          <w:sz w:val="28"/>
          <w:szCs w:val="28"/>
          <w:shd w:val="clear" w:color="auto" w:fill="FFFFFF"/>
          <w14:textFill>
            <w14:solidFill>
              <w14:schemeClr w14:val="tx1"/>
            </w14:solidFill>
          </w14:textFill>
        </w:rPr>
        <w:t>，需要建立有效的监督机制，确保标准的执行效果；最后，需要定期评估，及时发现问题并进行修订。</w:t>
      </w:r>
    </w:p>
    <w:p>
      <w:pPr>
        <w:pStyle w:val="5"/>
        <w:widowControl/>
        <w:numPr>
          <w:ilvl w:val="0"/>
          <w:numId w:val="7"/>
        </w:numPr>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组织措施</w:t>
      </w:r>
    </w:p>
    <w:p>
      <w:pPr>
        <w:pStyle w:val="5"/>
        <w:widowControl/>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ascii="宋体" w:hAnsi="宋体" w:eastAsia="宋体" w:cs="宋体"/>
          <w:color w:val="000000" w:themeColor="text1"/>
          <w:sz w:val="28"/>
          <w:szCs w:val="28"/>
          <w:shd w:val="clear" w:color="auto" w:fill="FFFFFF"/>
          <w14:textFill>
            <w14:solidFill>
              <w14:schemeClr w14:val="tx1"/>
            </w14:solidFill>
          </w14:textFill>
        </w:rPr>
        <w:t>本标准为针对</w:t>
      </w:r>
      <w:r>
        <w:rPr>
          <w:rFonts w:hint="eastAsia" w:ascii="宋体" w:hAnsi="宋体" w:eastAsia="宋体" w:cs="宋体"/>
          <w:color w:val="000000" w:themeColor="text1"/>
          <w:sz w:val="28"/>
          <w:szCs w:val="28"/>
          <w:shd w:val="clear" w:color="auto" w:fill="FFFFFF"/>
          <w14:textFill>
            <w14:solidFill>
              <w14:schemeClr w14:val="tx1"/>
            </w14:solidFill>
          </w14:textFill>
        </w:rPr>
        <w:t>青少年户外营地等级评定</w:t>
      </w:r>
      <w:r>
        <w:rPr>
          <w:rFonts w:ascii="宋体" w:hAnsi="宋体" w:eastAsia="宋体" w:cs="宋体"/>
          <w:color w:val="000000" w:themeColor="text1"/>
          <w:sz w:val="28"/>
          <w:szCs w:val="28"/>
          <w:shd w:val="clear" w:color="auto" w:fill="FFFFFF"/>
          <w14:textFill>
            <w14:solidFill>
              <w14:schemeClr w14:val="tx1"/>
            </w14:solidFill>
          </w14:textFill>
        </w:rPr>
        <w:t>标准，在组织措施上建议在</w:t>
      </w:r>
      <w:r>
        <w:rPr>
          <w:rFonts w:hint="eastAsia" w:ascii="宋体" w:hAnsi="宋体" w:eastAsia="宋体" w:cs="宋体"/>
          <w:color w:val="000000" w:themeColor="text1"/>
          <w:sz w:val="28"/>
          <w:szCs w:val="28"/>
          <w:shd w:val="clear" w:color="auto" w:fill="FFFFFF"/>
          <w14:textFill>
            <w14:solidFill>
              <w14:schemeClr w14:val="tx1"/>
            </w14:solidFill>
          </w14:textFill>
        </w:rPr>
        <w:t>中国登山协会、中国体育科学学会</w:t>
      </w:r>
      <w:r>
        <w:rPr>
          <w:rFonts w:ascii="宋体" w:hAnsi="宋体" w:eastAsia="宋体" w:cs="宋体"/>
          <w:color w:val="000000" w:themeColor="text1"/>
          <w:sz w:val="28"/>
          <w:szCs w:val="28"/>
          <w:shd w:val="clear" w:color="auto" w:fill="FFFFFF"/>
          <w14:textFill>
            <w14:solidFill>
              <w14:schemeClr w14:val="tx1"/>
            </w14:solidFill>
          </w14:textFill>
        </w:rPr>
        <w:t>的组织协调下，以标准化工作组成员为主，成立宣贯小组，宣贯实施，以使各青少年</w:t>
      </w:r>
      <w:r>
        <w:rPr>
          <w:rFonts w:hint="eastAsia" w:ascii="宋体" w:hAnsi="宋体" w:eastAsia="宋体" w:cs="宋体"/>
          <w:color w:val="000000" w:themeColor="text1"/>
          <w:sz w:val="28"/>
          <w:szCs w:val="28"/>
          <w:shd w:val="clear" w:color="auto" w:fill="FFFFFF"/>
          <w14:textFill>
            <w14:solidFill>
              <w14:schemeClr w14:val="tx1"/>
            </w14:solidFill>
          </w14:textFill>
        </w:rPr>
        <w:t>户外营地</w:t>
      </w:r>
      <w:r>
        <w:rPr>
          <w:rFonts w:ascii="宋体" w:hAnsi="宋体" w:eastAsia="宋体" w:cs="宋体"/>
          <w:color w:val="000000" w:themeColor="text1"/>
          <w:sz w:val="28"/>
          <w:szCs w:val="28"/>
          <w:shd w:val="clear" w:color="auto" w:fill="FFFFFF"/>
          <w14:textFill>
            <w14:solidFill>
              <w14:schemeClr w14:val="tx1"/>
            </w14:solidFill>
          </w14:textFill>
        </w:rPr>
        <w:t>、地方监管部门了解、使用标准。</w:t>
      </w:r>
    </w:p>
    <w:p>
      <w:pPr>
        <w:pStyle w:val="5"/>
        <w:widowControl/>
        <w:numPr>
          <w:ilvl w:val="0"/>
          <w:numId w:val="7"/>
        </w:numPr>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技术措施</w:t>
      </w:r>
    </w:p>
    <w:p>
      <w:pPr>
        <w:pStyle w:val="5"/>
        <w:widowControl/>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ascii="宋体" w:hAnsi="宋体" w:eastAsia="宋体" w:cs="宋体"/>
          <w:color w:val="000000" w:themeColor="text1"/>
          <w:sz w:val="28"/>
          <w:szCs w:val="28"/>
          <w:shd w:val="clear" w:color="auto" w:fill="FFFFFF"/>
          <w14:textFill>
            <w14:solidFill>
              <w14:schemeClr w14:val="tx1"/>
            </w14:solidFill>
          </w14:textFill>
        </w:rPr>
        <w:t>组织编写标准的宣贯材料，积极开展标准的宣贯培训。在标准实施过程中，及时向</w:t>
      </w:r>
      <w:r>
        <w:rPr>
          <w:rFonts w:hint="eastAsia" w:ascii="宋体" w:hAnsi="宋体" w:eastAsia="宋体" w:cs="宋体"/>
          <w:color w:val="000000" w:themeColor="text1"/>
          <w:sz w:val="28"/>
          <w:szCs w:val="28"/>
          <w:shd w:val="clear" w:color="auto" w:fill="FFFFFF"/>
          <w14:textFill>
            <w14:solidFill>
              <w14:schemeClr w14:val="tx1"/>
            </w14:solidFill>
          </w14:textFill>
        </w:rPr>
        <w:t>中国登山协会、中国体育科学学会</w:t>
      </w:r>
      <w:r>
        <w:rPr>
          <w:rFonts w:ascii="宋体" w:hAnsi="宋体" w:eastAsia="宋体" w:cs="宋体"/>
          <w:color w:val="000000" w:themeColor="text1"/>
          <w:sz w:val="28"/>
          <w:szCs w:val="28"/>
          <w:shd w:val="clear" w:color="auto" w:fill="FFFFFF"/>
          <w14:textFill>
            <w14:solidFill>
              <w14:schemeClr w14:val="tx1"/>
            </w14:solidFill>
          </w14:textFill>
        </w:rPr>
        <w:t>反馈标准的实施效果，使用中有何问题或建议，通过信件或电子邮件及时反馈给起草单位，为标准的修订提供基础，</w:t>
      </w:r>
      <w:r>
        <w:rPr>
          <w:rFonts w:hint="eastAsia" w:ascii="宋体" w:hAnsi="宋体" w:eastAsia="宋体" w:cs="宋体"/>
          <w:color w:val="000000" w:themeColor="text1"/>
          <w:sz w:val="28"/>
          <w:szCs w:val="28"/>
          <w:shd w:val="clear" w:color="auto" w:fill="FFFFFF"/>
          <w14:textFill>
            <w14:solidFill>
              <w14:schemeClr w14:val="tx1"/>
            </w14:solidFill>
          </w14:textFill>
        </w:rPr>
        <w:t>从而规范我国青少年户外营地行业。</w:t>
      </w:r>
    </w:p>
    <w:p>
      <w:pPr>
        <w:pStyle w:val="5"/>
        <w:widowControl/>
        <w:numPr>
          <w:ilvl w:val="0"/>
          <w:numId w:val="7"/>
        </w:numPr>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过渡办法</w:t>
      </w:r>
    </w:p>
    <w:p>
      <w:pPr>
        <w:pStyle w:val="5"/>
        <w:widowControl/>
        <w:shd w:val="clear" w:color="auto" w:fill="FFFFFF"/>
        <w:spacing w:beforeAutospacing="0" w:afterAutospacing="0"/>
        <w:ind w:firstLine="560" w:firstLineChars="200"/>
        <w:jc w:val="both"/>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前期主要针对大型青少年户外营地应用实施，并逐渐对小型青少年户外营地积极实施本标准。并将实施过程中出现的问题和好的改进建议反馈工作组以便进一步对本标准的修订和完善。</w:t>
      </w:r>
    </w:p>
    <w:p>
      <w:pPr>
        <w:pStyle w:val="5"/>
        <w:widowControl/>
        <w:numPr>
          <w:ilvl w:val="0"/>
          <w:numId w:val="1"/>
        </w:numPr>
        <w:shd w:val="clear" w:color="auto" w:fill="FFFFFF"/>
        <w:spacing w:beforeAutospacing="0" w:afterAutospacing="0"/>
        <w:jc w:val="both"/>
        <w:rPr>
          <w:rFonts w:ascii="黑体" w:hAnsi="黑体" w:eastAsia="黑体" w:cs="黑体"/>
          <w:b/>
          <w:bCs/>
          <w:color w:val="000000" w:themeColor="text1"/>
          <w:sz w:val="28"/>
          <w:szCs w:val="28"/>
          <w:shd w:val="clear" w:color="auto" w:fill="FFFFFF"/>
          <w14:textFill>
            <w14:solidFill>
              <w14:schemeClr w14:val="tx1"/>
            </w14:solidFill>
          </w14:textFill>
        </w:rPr>
      </w:pPr>
      <w:r>
        <w:rPr>
          <w:rFonts w:hint="eastAsia" w:ascii="黑体" w:hAnsi="黑体" w:eastAsia="黑体" w:cs="黑体"/>
          <w:b/>
          <w:bCs/>
          <w:color w:val="000000" w:themeColor="text1"/>
          <w:sz w:val="28"/>
          <w:szCs w:val="28"/>
          <w:shd w:val="clear" w:color="auto" w:fill="FFFFFF"/>
          <w14:textFill>
            <w14:solidFill>
              <w14:schemeClr w14:val="tx1"/>
            </w14:solidFill>
          </w14:textFill>
        </w:rPr>
        <w:t>其他应当予以说明的事项</w:t>
      </w:r>
    </w:p>
    <w:p>
      <w:pPr>
        <w:pStyle w:val="5"/>
        <w:widowControl/>
        <w:shd w:val="clear" w:color="auto" w:fill="FFFFFF"/>
        <w:spacing w:beforeAutospacing="0" w:afterAutospacing="0"/>
        <w:ind w:firstLine="560" w:firstLineChars="200"/>
        <w:jc w:val="both"/>
        <w:rPr>
          <w:rFonts w:hint="eastAsia" w:ascii="宋体" w:hAnsi="宋体" w:eastAsia="宋体" w:cs="宋体"/>
          <w:color w:val="000000" w:themeColor="text1"/>
          <w:sz w:val="28"/>
          <w:szCs w:val="28"/>
          <w:shd w:val="clear" w:color="auto" w:fill="FFFFFF"/>
          <w:lang w:eastAsia="zh-CN"/>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无</w:t>
      </w:r>
      <w:r>
        <w:rPr>
          <w:rFonts w:hint="eastAsia" w:ascii="宋体" w:hAnsi="宋体" w:eastAsia="宋体" w:cs="宋体"/>
          <w:color w:val="000000" w:themeColor="text1"/>
          <w:sz w:val="28"/>
          <w:szCs w:val="28"/>
          <w:shd w:val="clear" w:color="auto" w:fill="FFFFFF"/>
          <w:lang w:eastAsia="zh-CN"/>
          <w14:textFill>
            <w14:solidFill>
              <w14:schemeClr w14:val="tx1"/>
            </w14:solidFill>
          </w14:textFill>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F3A5E"/>
    <w:multiLevelType w:val="singleLevel"/>
    <w:tmpl w:val="916F3A5E"/>
    <w:lvl w:ilvl="0" w:tentative="0">
      <w:start w:val="1"/>
      <w:numFmt w:val="decimal"/>
      <w:suff w:val="nothing"/>
      <w:lvlText w:val="%1."/>
      <w:lvlJc w:val="left"/>
      <w:pPr>
        <w:ind w:left="0" w:firstLine="0"/>
      </w:pPr>
      <w:rPr>
        <w:rFonts w:hint="eastAsia"/>
      </w:rPr>
    </w:lvl>
  </w:abstractNum>
  <w:abstractNum w:abstractNumId="1">
    <w:nsid w:val="A3585979"/>
    <w:multiLevelType w:val="singleLevel"/>
    <w:tmpl w:val="A3585979"/>
    <w:lvl w:ilvl="0" w:tentative="0">
      <w:start w:val="1"/>
      <w:numFmt w:val="chineseCounting"/>
      <w:suff w:val="nothing"/>
      <w:lvlText w:val="（%1）"/>
      <w:lvlJc w:val="left"/>
      <w:pPr>
        <w:ind w:left="0" w:firstLine="420"/>
      </w:pPr>
      <w:rPr>
        <w:rFonts w:hint="eastAsia"/>
      </w:rPr>
    </w:lvl>
  </w:abstractNum>
  <w:abstractNum w:abstractNumId="2">
    <w:nsid w:val="C9E2D14E"/>
    <w:multiLevelType w:val="singleLevel"/>
    <w:tmpl w:val="C9E2D14E"/>
    <w:lvl w:ilvl="0" w:tentative="0">
      <w:start w:val="1"/>
      <w:numFmt w:val="chineseCounting"/>
      <w:suff w:val="nothing"/>
      <w:lvlText w:val="%1、"/>
      <w:lvlJc w:val="left"/>
      <w:pPr>
        <w:ind w:left="0" w:firstLine="420"/>
      </w:pPr>
      <w:rPr>
        <w:rFonts w:hint="eastAsia"/>
      </w:rPr>
    </w:lvl>
  </w:abstractNum>
  <w:abstractNum w:abstractNumId="3">
    <w:nsid w:val="D438A424"/>
    <w:multiLevelType w:val="singleLevel"/>
    <w:tmpl w:val="D438A424"/>
    <w:lvl w:ilvl="0" w:tentative="0">
      <w:start w:val="1"/>
      <w:numFmt w:val="chineseCounting"/>
      <w:suff w:val="nothing"/>
      <w:lvlText w:val="（%1）"/>
      <w:lvlJc w:val="left"/>
      <w:pPr>
        <w:ind w:left="0" w:firstLine="420"/>
      </w:pPr>
      <w:rPr>
        <w:rFonts w:hint="eastAsia"/>
      </w:rPr>
    </w:lvl>
  </w:abstractNum>
  <w:abstractNum w:abstractNumId="4">
    <w:nsid w:val="D602EC6B"/>
    <w:multiLevelType w:val="singleLevel"/>
    <w:tmpl w:val="D602EC6B"/>
    <w:lvl w:ilvl="0" w:tentative="0">
      <w:start w:val="1"/>
      <w:numFmt w:val="decimal"/>
      <w:suff w:val="nothing"/>
      <w:lvlText w:val="%1."/>
      <w:lvlJc w:val="left"/>
      <w:pPr>
        <w:ind w:left="0" w:firstLine="0"/>
      </w:pPr>
      <w:rPr>
        <w:rFonts w:hint="eastAsia"/>
      </w:rPr>
    </w:lvl>
  </w:abstractNum>
  <w:abstractNum w:abstractNumId="5">
    <w:nsid w:val="0A5331C8"/>
    <w:multiLevelType w:val="multilevel"/>
    <w:tmpl w:val="0A5331C8"/>
    <w:lvl w:ilvl="0" w:tentative="0">
      <w:start w:val="1"/>
      <w:numFmt w:val="decimal"/>
      <w:suff w:val="nothing"/>
      <w:lvlText w:val="%1."/>
      <w:lvlJc w:val="left"/>
      <w:pPr>
        <w:ind w:left="1000" w:hanging="440"/>
      </w:pPr>
      <w:rPr>
        <w:rFonts w:hint="eastAsia"/>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6">
    <w:nsid w:val="4EBE3C6E"/>
    <w:multiLevelType w:val="singleLevel"/>
    <w:tmpl w:val="4EBE3C6E"/>
    <w:lvl w:ilvl="0" w:tentative="0">
      <w:start w:val="1"/>
      <w:numFmt w:val="decimal"/>
      <w:suff w:val="space"/>
      <w:lvlText w:val="%1."/>
      <w:lvlJc w:val="left"/>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hM2U5MWY0NjBmZmVjMWMwZjRiM2RlYTFhYWY0MDMifQ=="/>
  </w:docVars>
  <w:rsids>
    <w:rsidRoot w:val="00B01537"/>
    <w:rsid w:val="00002A3B"/>
    <w:rsid w:val="000103DA"/>
    <w:rsid w:val="00011B8C"/>
    <w:rsid w:val="00014410"/>
    <w:rsid w:val="0001574D"/>
    <w:rsid w:val="0002770A"/>
    <w:rsid w:val="00027744"/>
    <w:rsid w:val="00035080"/>
    <w:rsid w:val="000353C1"/>
    <w:rsid w:val="00037092"/>
    <w:rsid w:val="00037602"/>
    <w:rsid w:val="0004214B"/>
    <w:rsid w:val="000453F4"/>
    <w:rsid w:val="0004598A"/>
    <w:rsid w:val="00050770"/>
    <w:rsid w:val="000611DE"/>
    <w:rsid w:val="000649F4"/>
    <w:rsid w:val="00066ED4"/>
    <w:rsid w:val="00071FF0"/>
    <w:rsid w:val="00077519"/>
    <w:rsid w:val="00081E5C"/>
    <w:rsid w:val="00083C52"/>
    <w:rsid w:val="00090F57"/>
    <w:rsid w:val="00091507"/>
    <w:rsid w:val="00094263"/>
    <w:rsid w:val="00096641"/>
    <w:rsid w:val="000A58A1"/>
    <w:rsid w:val="000B3497"/>
    <w:rsid w:val="000B77EF"/>
    <w:rsid w:val="000C0F8C"/>
    <w:rsid w:val="000C3735"/>
    <w:rsid w:val="000C44A2"/>
    <w:rsid w:val="000C54FC"/>
    <w:rsid w:val="000C5551"/>
    <w:rsid w:val="000C7F25"/>
    <w:rsid w:val="000D2175"/>
    <w:rsid w:val="000D4F75"/>
    <w:rsid w:val="000D59B8"/>
    <w:rsid w:val="000D6082"/>
    <w:rsid w:val="000E0884"/>
    <w:rsid w:val="000E0B82"/>
    <w:rsid w:val="000E1E3C"/>
    <w:rsid w:val="000E200B"/>
    <w:rsid w:val="000E6EA5"/>
    <w:rsid w:val="000F6E2B"/>
    <w:rsid w:val="001006D7"/>
    <w:rsid w:val="0010773A"/>
    <w:rsid w:val="00112BC0"/>
    <w:rsid w:val="0011368D"/>
    <w:rsid w:val="001159A0"/>
    <w:rsid w:val="00123DFB"/>
    <w:rsid w:val="00123FD8"/>
    <w:rsid w:val="0012754D"/>
    <w:rsid w:val="00134A0A"/>
    <w:rsid w:val="00142DAF"/>
    <w:rsid w:val="00144348"/>
    <w:rsid w:val="00147F3A"/>
    <w:rsid w:val="00150F1B"/>
    <w:rsid w:val="00154B7C"/>
    <w:rsid w:val="0015584B"/>
    <w:rsid w:val="001600C1"/>
    <w:rsid w:val="00160D0F"/>
    <w:rsid w:val="0016473E"/>
    <w:rsid w:val="00164854"/>
    <w:rsid w:val="00171A82"/>
    <w:rsid w:val="001728B4"/>
    <w:rsid w:val="00173F0B"/>
    <w:rsid w:val="001750C8"/>
    <w:rsid w:val="00186B04"/>
    <w:rsid w:val="00192722"/>
    <w:rsid w:val="00197096"/>
    <w:rsid w:val="00197C76"/>
    <w:rsid w:val="001A3916"/>
    <w:rsid w:val="001A6D1B"/>
    <w:rsid w:val="001B1D8C"/>
    <w:rsid w:val="001B3860"/>
    <w:rsid w:val="001B46DB"/>
    <w:rsid w:val="001B5C28"/>
    <w:rsid w:val="001B6101"/>
    <w:rsid w:val="001B7DEC"/>
    <w:rsid w:val="001C1D4E"/>
    <w:rsid w:val="001C318C"/>
    <w:rsid w:val="001C4E40"/>
    <w:rsid w:val="001C4FC6"/>
    <w:rsid w:val="001C6AF8"/>
    <w:rsid w:val="001D44B7"/>
    <w:rsid w:val="001D4ED6"/>
    <w:rsid w:val="001E3495"/>
    <w:rsid w:val="001E3AD4"/>
    <w:rsid w:val="001E495D"/>
    <w:rsid w:val="001E5429"/>
    <w:rsid w:val="001E6696"/>
    <w:rsid w:val="001E6B71"/>
    <w:rsid w:val="001E7D0B"/>
    <w:rsid w:val="001F2C70"/>
    <w:rsid w:val="001F789F"/>
    <w:rsid w:val="0020271E"/>
    <w:rsid w:val="00203B08"/>
    <w:rsid w:val="0020496F"/>
    <w:rsid w:val="002151D8"/>
    <w:rsid w:val="00217613"/>
    <w:rsid w:val="0022205E"/>
    <w:rsid w:val="00222806"/>
    <w:rsid w:val="00233447"/>
    <w:rsid w:val="002347B8"/>
    <w:rsid w:val="00240E33"/>
    <w:rsid w:val="00240E87"/>
    <w:rsid w:val="0024400C"/>
    <w:rsid w:val="00250260"/>
    <w:rsid w:val="002557DF"/>
    <w:rsid w:val="002636C9"/>
    <w:rsid w:val="00267D05"/>
    <w:rsid w:val="00271FAF"/>
    <w:rsid w:val="002759E6"/>
    <w:rsid w:val="0027791E"/>
    <w:rsid w:val="00277D3D"/>
    <w:rsid w:val="002806F8"/>
    <w:rsid w:val="00281804"/>
    <w:rsid w:val="00283F84"/>
    <w:rsid w:val="00285CD4"/>
    <w:rsid w:val="00291872"/>
    <w:rsid w:val="0029310C"/>
    <w:rsid w:val="002A1674"/>
    <w:rsid w:val="002A4590"/>
    <w:rsid w:val="002A52CE"/>
    <w:rsid w:val="002A71BE"/>
    <w:rsid w:val="002C098D"/>
    <w:rsid w:val="002C6426"/>
    <w:rsid w:val="002D0DC0"/>
    <w:rsid w:val="002D317F"/>
    <w:rsid w:val="002D45EE"/>
    <w:rsid w:val="002E28AD"/>
    <w:rsid w:val="002E48BB"/>
    <w:rsid w:val="002E5984"/>
    <w:rsid w:val="002F0FCB"/>
    <w:rsid w:val="002F1FB8"/>
    <w:rsid w:val="002F3D69"/>
    <w:rsid w:val="002F4F16"/>
    <w:rsid w:val="003001C4"/>
    <w:rsid w:val="0030073E"/>
    <w:rsid w:val="00301FC3"/>
    <w:rsid w:val="00304F80"/>
    <w:rsid w:val="00310A17"/>
    <w:rsid w:val="00310A82"/>
    <w:rsid w:val="00310C3B"/>
    <w:rsid w:val="00314F43"/>
    <w:rsid w:val="00315934"/>
    <w:rsid w:val="003168FA"/>
    <w:rsid w:val="00316A6E"/>
    <w:rsid w:val="0032100F"/>
    <w:rsid w:val="00324070"/>
    <w:rsid w:val="00332F5C"/>
    <w:rsid w:val="00334D4C"/>
    <w:rsid w:val="00341479"/>
    <w:rsid w:val="00341C96"/>
    <w:rsid w:val="00344890"/>
    <w:rsid w:val="003464AF"/>
    <w:rsid w:val="00347150"/>
    <w:rsid w:val="00361F4D"/>
    <w:rsid w:val="00364BEC"/>
    <w:rsid w:val="003678C6"/>
    <w:rsid w:val="00367E73"/>
    <w:rsid w:val="00371A09"/>
    <w:rsid w:val="00371F56"/>
    <w:rsid w:val="00372C00"/>
    <w:rsid w:val="00375C0F"/>
    <w:rsid w:val="003762D6"/>
    <w:rsid w:val="00377C5F"/>
    <w:rsid w:val="00385BC6"/>
    <w:rsid w:val="00390BE8"/>
    <w:rsid w:val="003912A4"/>
    <w:rsid w:val="0039214F"/>
    <w:rsid w:val="00392957"/>
    <w:rsid w:val="00393D10"/>
    <w:rsid w:val="00394E2D"/>
    <w:rsid w:val="003A10C6"/>
    <w:rsid w:val="003A214D"/>
    <w:rsid w:val="003A4850"/>
    <w:rsid w:val="003A4EAE"/>
    <w:rsid w:val="003B0271"/>
    <w:rsid w:val="003B1505"/>
    <w:rsid w:val="003B7F09"/>
    <w:rsid w:val="003C4673"/>
    <w:rsid w:val="003C5A5A"/>
    <w:rsid w:val="003D3090"/>
    <w:rsid w:val="003D3656"/>
    <w:rsid w:val="003D5B28"/>
    <w:rsid w:val="003D601F"/>
    <w:rsid w:val="003D7AD5"/>
    <w:rsid w:val="003E1415"/>
    <w:rsid w:val="003E1FCD"/>
    <w:rsid w:val="003E68BC"/>
    <w:rsid w:val="003F05A7"/>
    <w:rsid w:val="003F1543"/>
    <w:rsid w:val="003F20D8"/>
    <w:rsid w:val="003F3084"/>
    <w:rsid w:val="003F3E88"/>
    <w:rsid w:val="00401139"/>
    <w:rsid w:val="00403989"/>
    <w:rsid w:val="00404452"/>
    <w:rsid w:val="0040458B"/>
    <w:rsid w:val="0040795B"/>
    <w:rsid w:val="00407E88"/>
    <w:rsid w:val="00411C0F"/>
    <w:rsid w:val="0041274C"/>
    <w:rsid w:val="004171EF"/>
    <w:rsid w:val="0042088A"/>
    <w:rsid w:val="00422645"/>
    <w:rsid w:val="004279FA"/>
    <w:rsid w:val="00430475"/>
    <w:rsid w:val="004340B9"/>
    <w:rsid w:val="004373DF"/>
    <w:rsid w:val="004424A0"/>
    <w:rsid w:val="004478DE"/>
    <w:rsid w:val="00457FCA"/>
    <w:rsid w:val="004651F1"/>
    <w:rsid w:val="0047465B"/>
    <w:rsid w:val="00475869"/>
    <w:rsid w:val="00477440"/>
    <w:rsid w:val="00480E37"/>
    <w:rsid w:val="0048409A"/>
    <w:rsid w:val="0048470E"/>
    <w:rsid w:val="00485DCC"/>
    <w:rsid w:val="00486BC7"/>
    <w:rsid w:val="00493E80"/>
    <w:rsid w:val="00497826"/>
    <w:rsid w:val="004A0297"/>
    <w:rsid w:val="004A390B"/>
    <w:rsid w:val="004A5E4C"/>
    <w:rsid w:val="004A770D"/>
    <w:rsid w:val="004B2869"/>
    <w:rsid w:val="004B2E42"/>
    <w:rsid w:val="004B5EF3"/>
    <w:rsid w:val="004B721F"/>
    <w:rsid w:val="004B7EB9"/>
    <w:rsid w:val="004C0243"/>
    <w:rsid w:val="004C124A"/>
    <w:rsid w:val="004C4CD2"/>
    <w:rsid w:val="004C5A61"/>
    <w:rsid w:val="004C6546"/>
    <w:rsid w:val="004C72E9"/>
    <w:rsid w:val="004D1663"/>
    <w:rsid w:val="004D24C2"/>
    <w:rsid w:val="004D7522"/>
    <w:rsid w:val="004D75A0"/>
    <w:rsid w:val="004E0F50"/>
    <w:rsid w:val="004E5106"/>
    <w:rsid w:val="004E60BC"/>
    <w:rsid w:val="004E6F00"/>
    <w:rsid w:val="004F00AC"/>
    <w:rsid w:val="004F10DF"/>
    <w:rsid w:val="004F1EDE"/>
    <w:rsid w:val="004F3021"/>
    <w:rsid w:val="004F68F4"/>
    <w:rsid w:val="00500150"/>
    <w:rsid w:val="005004FC"/>
    <w:rsid w:val="00507D3E"/>
    <w:rsid w:val="00510B12"/>
    <w:rsid w:val="00511824"/>
    <w:rsid w:val="005177B8"/>
    <w:rsid w:val="00522034"/>
    <w:rsid w:val="0052520B"/>
    <w:rsid w:val="0053034C"/>
    <w:rsid w:val="00530D29"/>
    <w:rsid w:val="00534F5D"/>
    <w:rsid w:val="00535E1D"/>
    <w:rsid w:val="00536D8A"/>
    <w:rsid w:val="00537F83"/>
    <w:rsid w:val="00544296"/>
    <w:rsid w:val="005449E6"/>
    <w:rsid w:val="00547D0C"/>
    <w:rsid w:val="005533B7"/>
    <w:rsid w:val="0055560C"/>
    <w:rsid w:val="005558CC"/>
    <w:rsid w:val="00570EEA"/>
    <w:rsid w:val="00574A97"/>
    <w:rsid w:val="0057518B"/>
    <w:rsid w:val="00575302"/>
    <w:rsid w:val="00577E9B"/>
    <w:rsid w:val="0058047F"/>
    <w:rsid w:val="005826E0"/>
    <w:rsid w:val="00582A65"/>
    <w:rsid w:val="00584E39"/>
    <w:rsid w:val="005871D5"/>
    <w:rsid w:val="005876EF"/>
    <w:rsid w:val="00592B05"/>
    <w:rsid w:val="005948B3"/>
    <w:rsid w:val="00597DA7"/>
    <w:rsid w:val="005A3C6C"/>
    <w:rsid w:val="005A46F8"/>
    <w:rsid w:val="005A538F"/>
    <w:rsid w:val="005A72E5"/>
    <w:rsid w:val="005A7B78"/>
    <w:rsid w:val="005B15F9"/>
    <w:rsid w:val="005B1AA9"/>
    <w:rsid w:val="005C1D25"/>
    <w:rsid w:val="005C4B87"/>
    <w:rsid w:val="005D1AD9"/>
    <w:rsid w:val="005D6606"/>
    <w:rsid w:val="005D6E9A"/>
    <w:rsid w:val="005E16FC"/>
    <w:rsid w:val="005E757A"/>
    <w:rsid w:val="005E75AF"/>
    <w:rsid w:val="005F2050"/>
    <w:rsid w:val="005F287F"/>
    <w:rsid w:val="005F799C"/>
    <w:rsid w:val="00606EBB"/>
    <w:rsid w:val="006164D7"/>
    <w:rsid w:val="00616CF1"/>
    <w:rsid w:val="00617FEA"/>
    <w:rsid w:val="006317CC"/>
    <w:rsid w:val="006401DB"/>
    <w:rsid w:val="00641333"/>
    <w:rsid w:val="00642902"/>
    <w:rsid w:val="00642ECE"/>
    <w:rsid w:val="006433F5"/>
    <w:rsid w:val="00643FCB"/>
    <w:rsid w:val="006546B3"/>
    <w:rsid w:val="00655B31"/>
    <w:rsid w:val="006565B2"/>
    <w:rsid w:val="00657C24"/>
    <w:rsid w:val="0066058C"/>
    <w:rsid w:val="0066089D"/>
    <w:rsid w:val="00660CF4"/>
    <w:rsid w:val="006611DE"/>
    <w:rsid w:val="00661B25"/>
    <w:rsid w:val="0066278F"/>
    <w:rsid w:val="00663F48"/>
    <w:rsid w:val="00664123"/>
    <w:rsid w:val="006641FA"/>
    <w:rsid w:val="0066565B"/>
    <w:rsid w:val="00665E21"/>
    <w:rsid w:val="00670A4C"/>
    <w:rsid w:val="00673AA4"/>
    <w:rsid w:val="00673F80"/>
    <w:rsid w:val="006763F4"/>
    <w:rsid w:val="00676E0F"/>
    <w:rsid w:val="00676E29"/>
    <w:rsid w:val="00677EE9"/>
    <w:rsid w:val="00681C3F"/>
    <w:rsid w:val="00681CCD"/>
    <w:rsid w:val="00682743"/>
    <w:rsid w:val="0068329B"/>
    <w:rsid w:val="00685F16"/>
    <w:rsid w:val="0069088F"/>
    <w:rsid w:val="00692752"/>
    <w:rsid w:val="00692996"/>
    <w:rsid w:val="006940FF"/>
    <w:rsid w:val="00695A3E"/>
    <w:rsid w:val="00696B93"/>
    <w:rsid w:val="006A2BA5"/>
    <w:rsid w:val="006A3DA6"/>
    <w:rsid w:val="006A7FAE"/>
    <w:rsid w:val="006B0D22"/>
    <w:rsid w:val="006B7E42"/>
    <w:rsid w:val="006C4C5A"/>
    <w:rsid w:val="006D525E"/>
    <w:rsid w:val="006E2A94"/>
    <w:rsid w:val="006E554F"/>
    <w:rsid w:val="006F5A89"/>
    <w:rsid w:val="006F791A"/>
    <w:rsid w:val="006F7BD7"/>
    <w:rsid w:val="00721351"/>
    <w:rsid w:val="0072440B"/>
    <w:rsid w:val="00726659"/>
    <w:rsid w:val="00726AC7"/>
    <w:rsid w:val="0072793F"/>
    <w:rsid w:val="007351A8"/>
    <w:rsid w:val="007376CC"/>
    <w:rsid w:val="00740768"/>
    <w:rsid w:val="007407F8"/>
    <w:rsid w:val="00740B16"/>
    <w:rsid w:val="00743274"/>
    <w:rsid w:val="00744045"/>
    <w:rsid w:val="00746B4D"/>
    <w:rsid w:val="00753079"/>
    <w:rsid w:val="007603B1"/>
    <w:rsid w:val="00762A73"/>
    <w:rsid w:val="007676B4"/>
    <w:rsid w:val="00772A92"/>
    <w:rsid w:val="00773857"/>
    <w:rsid w:val="007744F0"/>
    <w:rsid w:val="007746F3"/>
    <w:rsid w:val="0078060E"/>
    <w:rsid w:val="00780F70"/>
    <w:rsid w:val="00781880"/>
    <w:rsid w:val="00787FE3"/>
    <w:rsid w:val="00790BD0"/>
    <w:rsid w:val="007A0A8C"/>
    <w:rsid w:val="007A0F26"/>
    <w:rsid w:val="007A1E30"/>
    <w:rsid w:val="007A3DD2"/>
    <w:rsid w:val="007A3EC4"/>
    <w:rsid w:val="007A4B81"/>
    <w:rsid w:val="007A5FA5"/>
    <w:rsid w:val="007A68A7"/>
    <w:rsid w:val="007A76DA"/>
    <w:rsid w:val="007B1A99"/>
    <w:rsid w:val="007B3B35"/>
    <w:rsid w:val="007C0FAF"/>
    <w:rsid w:val="007C2426"/>
    <w:rsid w:val="007C70CF"/>
    <w:rsid w:val="007D05D7"/>
    <w:rsid w:val="007D5953"/>
    <w:rsid w:val="007D6D46"/>
    <w:rsid w:val="007E17E4"/>
    <w:rsid w:val="007E670E"/>
    <w:rsid w:val="007F711F"/>
    <w:rsid w:val="00801F2E"/>
    <w:rsid w:val="00807B75"/>
    <w:rsid w:val="00823DB3"/>
    <w:rsid w:val="00826964"/>
    <w:rsid w:val="008333B0"/>
    <w:rsid w:val="008369C0"/>
    <w:rsid w:val="00846517"/>
    <w:rsid w:val="00854E5F"/>
    <w:rsid w:val="008615EE"/>
    <w:rsid w:val="00867B08"/>
    <w:rsid w:val="00870CA2"/>
    <w:rsid w:val="00872DC0"/>
    <w:rsid w:val="00880169"/>
    <w:rsid w:val="00881247"/>
    <w:rsid w:val="008847ED"/>
    <w:rsid w:val="0089272C"/>
    <w:rsid w:val="00894BB7"/>
    <w:rsid w:val="00894D31"/>
    <w:rsid w:val="008973E5"/>
    <w:rsid w:val="008A0650"/>
    <w:rsid w:val="008A0BAC"/>
    <w:rsid w:val="008B0D33"/>
    <w:rsid w:val="008B272C"/>
    <w:rsid w:val="008B4210"/>
    <w:rsid w:val="008C44F4"/>
    <w:rsid w:val="008D0ADE"/>
    <w:rsid w:val="008D19BC"/>
    <w:rsid w:val="008D37F0"/>
    <w:rsid w:val="008D68C8"/>
    <w:rsid w:val="008D7713"/>
    <w:rsid w:val="008E0A0C"/>
    <w:rsid w:val="008E1B41"/>
    <w:rsid w:val="008E2662"/>
    <w:rsid w:val="008E38E8"/>
    <w:rsid w:val="008F669B"/>
    <w:rsid w:val="008F76DE"/>
    <w:rsid w:val="008F7902"/>
    <w:rsid w:val="0091039D"/>
    <w:rsid w:val="00922CED"/>
    <w:rsid w:val="0092318E"/>
    <w:rsid w:val="00923CBA"/>
    <w:rsid w:val="0093681C"/>
    <w:rsid w:val="00944EF1"/>
    <w:rsid w:val="0094792C"/>
    <w:rsid w:val="009501F8"/>
    <w:rsid w:val="009566D1"/>
    <w:rsid w:val="00961384"/>
    <w:rsid w:val="00964276"/>
    <w:rsid w:val="00966A86"/>
    <w:rsid w:val="00966C1C"/>
    <w:rsid w:val="009702CC"/>
    <w:rsid w:val="00972267"/>
    <w:rsid w:val="00972B49"/>
    <w:rsid w:val="0097693F"/>
    <w:rsid w:val="0098099E"/>
    <w:rsid w:val="00981216"/>
    <w:rsid w:val="009812EF"/>
    <w:rsid w:val="00991DBE"/>
    <w:rsid w:val="00992C91"/>
    <w:rsid w:val="00994DDA"/>
    <w:rsid w:val="0099782D"/>
    <w:rsid w:val="009A14F0"/>
    <w:rsid w:val="009A4E30"/>
    <w:rsid w:val="009A5CC2"/>
    <w:rsid w:val="009A6280"/>
    <w:rsid w:val="009B6898"/>
    <w:rsid w:val="009C36CF"/>
    <w:rsid w:val="009C40E0"/>
    <w:rsid w:val="009C7B29"/>
    <w:rsid w:val="009D18F1"/>
    <w:rsid w:val="009D1F63"/>
    <w:rsid w:val="009D3F16"/>
    <w:rsid w:val="009D485D"/>
    <w:rsid w:val="009D634F"/>
    <w:rsid w:val="009D73A3"/>
    <w:rsid w:val="009E1364"/>
    <w:rsid w:val="009E391B"/>
    <w:rsid w:val="009E3CD5"/>
    <w:rsid w:val="009E4046"/>
    <w:rsid w:val="009E4BC1"/>
    <w:rsid w:val="009F6AE2"/>
    <w:rsid w:val="009F7DA6"/>
    <w:rsid w:val="00A03287"/>
    <w:rsid w:val="00A0497E"/>
    <w:rsid w:val="00A12DCF"/>
    <w:rsid w:val="00A15058"/>
    <w:rsid w:val="00A1550C"/>
    <w:rsid w:val="00A21BD4"/>
    <w:rsid w:val="00A22583"/>
    <w:rsid w:val="00A22E50"/>
    <w:rsid w:val="00A232A2"/>
    <w:rsid w:val="00A24214"/>
    <w:rsid w:val="00A248F3"/>
    <w:rsid w:val="00A26AAD"/>
    <w:rsid w:val="00A35EFC"/>
    <w:rsid w:val="00A428F0"/>
    <w:rsid w:val="00A42E79"/>
    <w:rsid w:val="00A519EE"/>
    <w:rsid w:val="00A52202"/>
    <w:rsid w:val="00A52338"/>
    <w:rsid w:val="00A55E4C"/>
    <w:rsid w:val="00A56E78"/>
    <w:rsid w:val="00A63DEC"/>
    <w:rsid w:val="00A67C92"/>
    <w:rsid w:val="00A706DB"/>
    <w:rsid w:val="00A70EAB"/>
    <w:rsid w:val="00A71C4D"/>
    <w:rsid w:val="00A73355"/>
    <w:rsid w:val="00A842D3"/>
    <w:rsid w:val="00A91250"/>
    <w:rsid w:val="00A917BC"/>
    <w:rsid w:val="00A919AA"/>
    <w:rsid w:val="00AA0E54"/>
    <w:rsid w:val="00AA16DC"/>
    <w:rsid w:val="00AA4897"/>
    <w:rsid w:val="00AA5BDE"/>
    <w:rsid w:val="00AA69B1"/>
    <w:rsid w:val="00AB26CE"/>
    <w:rsid w:val="00AC0B99"/>
    <w:rsid w:val="00AC15E2"/>
    <w:rsid w:val="00AC1EC4"/>
    <w:rsid w:val="00AC3BBC"/>
    <w:rsid w:val="00AD25EF"/>
    <w:rsid w:val="00AD272A"/>
    <w:rsid w:val="00AE176F"/>
    <w:rsid w:val="00AE21A8"/>
    <w:rsid w:val="00AE53D0"/>
    <w:rsid w:val="00AE5DBE"/>
    <w:rsid w:val="00AE7AAB"/>
    <w:rsid w:val="00AF2B4A"/>
    <w:rsid w:val="00AF3A69"/>
    <w:rsid w:val="00AF6752"/>
    <w:rsid w:val="00AF7E4A"/>
    <w:rsid w:val="00B01537"/>
    <w:rsid w:val="00B031FF"/>
    <w:rsid w:val="00B06E4B"/>
    <w:rsid w:val="00B12C33"/>
    <w:rsid w:val="00B22895"/>
    <w:rsid w:val="00B328A7"/>
    <w:rsid w:val="00B33417"/>
    <w:rsid w:val="00B3767B"/>
    <w:rsid w:val="00B41FE2"/>
    <w:rsid w:val="00B4297E"/>
    <w:rsid w:val="00B43E0B"/>
    <w:rsid w:val="00B46CD7"/>
    <w:rsid w:val="00B506AB"/>
    <w:rsid w:val="00B540F2"/>
    <w:rsid w:val="00B55F44"/>
    <w:rsid w:val="00B60932"/>
    <w:rsid w:val="00B654F8"/>
    <w:rsid w:val="00B66C8F"/>
    <w:rsid w:val="00B7021D"/>
    <w:rsid w:val="00B71526"/>
    <w:rsid w:val="00B74E62"/>
    <w:rsid w:val="00B760E9"/>
    <w:rsid w:val="00B775B6"/>
    <w:rsid w:val="00B81CC6"/>
    <w:rsid w:val="00B82243"/>
    <w:rsid w:val="00B8224E"/>
    <w:rsid w:val="00B82477"/>
    <w:rsid w:val="00B842FD"/>
    <w:rsid w:val="00B8784D"/>
    <w:rsid w:val="00B90F95"/>
    <w:rsid w:val="00B97FA4"/>
    <w:rsid w:val="00BB6DA5"/>
    <w:rsid w:val="00BC01D3"/>
    <w:rsid w:val="00BC0CBF"/>
    <w:rsid w:val="00BC0E42"/>
    <w:rsid w:val="00BC3982"/>
    <w:rsid w:val="00BC6E78"/>
    <w:rsid w:val="00BD0AF0"/>
    <w:rsid w:val="00BD1143"/>
    <w:rsid w:val="00BD1666"/>
    <w:rsid w:val="00BD4694"/>
    <w:rsid w:val="00BD48F9"/>
    <w:rsid w:val="00BD5EE6"/>
    <w:rsid w:val="00BE07BA"/>
    <w:rsid w:val="00BE2934"/>
    <w:rsid w:val="00BE3AA4"/>
    <w:rsid w:val="00BE76D0"/>
    <w:rsid w:val="00BE796F"/>
    <w:rsid w:val="00BF10E7"/>
    <w:rsid w:val="00BF52C0"/>
    <w:rsid w:val="00BF7442"/>
    <w:rsid w:val="00C014B2"/>
    <w:rsid w:val="00C02E9C"/>
    <w:rsid w:val="00C03F8B"/>
    <w:rsid w:val="00C10D88"/>
    <w:rsid w:val="00C112F0"/>
    <w:rsid w:val="00C1451B"/>
    <w:rsid w:val="00C175B2"/>
    <w:rsid w:val="00C20B66"/>
    <w:rsid w:val="00C20F69"/>
    <w:rsid w:val="00C222D6"/>
    <w:rsid w:val="00C2642A"/>
    <w:rsid w:val="00C276D5"/>
    <w:rsid w:val="00C46906"/>
    <w:rsid w:val="00C5083A"/>
    <w:rsid w:val="00C54578"/>
    <w:rsid w:val="00C61B39"/>
    <w:rsid w:val="00C626ED"/>
    <w:rsid w:val="00C632D2"/>
    <w:rsid w:val="00C6347B"/>
    <w:rsid w:val="00C653D8"/>
    <w:rsid w:val="00C70FA9"/>
    <w:rsid w:val="00C82990"/>
    <w:rsid w:val="00C84AAA"/>
    <w:rsid w:val="00C90DC8"/>
    <w:rsid w:val="00C90ED5"/>
    <w:rsid w:val="00C953D8"/>
    <w:rsid w:val="00CA7738"/>
    <w:rsid w:val="00CB2E92"/>
    <w:rsid w:val="00CB767E"/>
    <w:rsid w:val="00CB7CD1"/>
    <w:rsid w:val="00CB7E0F"/>
    <w:rsid w:val="00CC003D"/>
    <w:rsid w:val="00CC19D1"/>
    <w:rsid w:val="00CC369D"/>
    <w:rsid w:val="00CC43AE"/>
    <w:rsid w:val="00CC5DAC"/>
    <w:rsid w:val="00CD15A3"/>
    <w:rsid w:val="00CD773D"/>
    <w:rsid w:val="00CD7773"/>
    <w:rsid w:val="00CE64F9"/>
    <w:rsid w:val="00CF681E"/>
    <w:rsid w:val="00CF7FA5"/>
    <w:rsid w:val="00D0174D"/>
    <w:rsid w:val="00D0541B"/>
    <w:rsid w:val="00D05B99"/>
    <w:rsid w:val="00D066C9"/>
    <w:rsid w:val="00D1044E"/>
    <w:rsid w:val="00D1417F"/>
    <w:rsid w:val="00D20045"/>
    <w:rsid w:val="00D20D9F"/>
    <w:rsid w:val="00D263C0"/>
    <w:rsid w:val="00D270F5"/>
    <w:rsid w:val="00D306E1"/>
    <w:rsid w:val="00D33828"/>
    <w:rsid w:val="00D33896"/>
    <w:rsid w:val="00D33B8B"/>
    <w:rsid w:val="00D36298"/>
    <w:rsid w:val="00D3778D"/>
    <w:rsid w:val="00D41470"/>
    <w:rsid w:val="00D45699"/>
    <w:rsid w:val="00D515CF"/>
    <w:rsid w:val="00D54C38"/>
    <w:rsid w:val="00D552EE"/>
    <w:rsid w:val="00D60E33"/>
    <w:rsid w:val="00D60F3E"/>
    <w:rsid w:val="00D62B70"/>
    <w:rsid w:val="00D75AE1"/>
    <w:rsid w:val="00D85BBC"/>
    <w:rsid w:val="00D9239C"/>
    <w:rsid w:val="00D94EDB"/>
    <w:rsid w:val="00D96557"/>
    <w:rsid w:val="00DA44D6"/>
    <w:rsid w:val="00DA7C3F"/>
    <w:rsid w:val="00DB1984"/>
    <w:rsid w:val="00DB1E29"/>
    <w:rsid w:val="00DB2FC2"/>
    <w:rsid w:val="00DB62DF"/>
    <w:rsid w:val="00DC00DC"/>
    <w:rsid w:val="00DC1D72"/>
    <w:rsid w:val="00DC456C"/>
    <w:rsid w:val="00DC6CE5"/>
    <w:rsid w:val="00DD0037"/>
    <w:rsid w:val="00DD0A74"/>
    <w:rsid w:val="00DD28C1"/>
    <w:rsid w:val="00DE00D9"/>
    <w:rsid w:val="00DE6413"/>
    <w:rsid w:val="00DE66EB"/>
    <w:rsid w:val="00DF26CD"/>
    <w:rsid w:val="00DF46A9"/>
    <w:rsid w:val="00E00ED2"/>
    <w:rsid w:val="00E01CF1"/>
    <w:rsid w:val="00E10415"/>
    <w:rsid w:val="00E11D04"/>
    <w:rsid w:val="00E13153"/>
    <w:rsid w:val="00E21C58"/>
    <w:rsid w:val="00E23252"/>
    <w:rsid w:val="00E242E5"/>
    <w:rsid w:val="00E26A32"/>
    <w:rsid w:val="00E273DB"/>
    <w:rsid w:val="00E3605D"/>
    <w:rsid w:val="00E46C79"/>
    <w:rsid w:val="00E545D5"/>
    <w:rsid w:val="00E55683"/>
    <w:rsid w:val="00E706A6"/>
    <w:rsid w:val="00E71E3F"/>
    <w:rsid w:val="00E72348"/>
    <w:rsid w:val="00E75058"/>
    <w:rsid w:val="00E7673F"/>
    <w:rsid w:val="00E77E8D"/>
    <w:rsid w:val="00E80DCC"/>
    <w:rsid w:val="00E81A88"/>
    <w:rsid w:val="00E81BBA"/>
    <w:rsid w:val="00E82290"/>
    <w:rsid w:val="00E85BA2"/>
    <w:rsid w:val="00E86B30"/>
    <w:rsid w:val="00E91924"/>
    <w:rsid w:val="00E92C40"/>
    <w:rsid w:val="00E947EF"/>
    <w:rsid w:val="00E954CC"/>
    <w:rsid w:val="00E96580"/>
    <w:rsid w:val="00E96B62"/>
    <w:rsid w:val="00EA5B48"/>
    <w:rsid w:val="00EB45EB"/>
    <w:rsid w:val="00EB666E"/>
    <w:rsid w:val="00EC0D1E"/>
    <w:rsid w:val="00EC63EA"/>
    <w:rsid w:val="00EC6C05"/>
    <w:rsid w:val="00ED4978"/>
    <w:rsid w:val="00ED4CCD"/>
    <w:rsid w:val="00EE0E93"/>
    <w:rsid w:val="00EE36B9"/>
    <w:rsid w:val="00EF62BF"/>
    <w:rsid w:val="00EF6CF2"/>
    <w:rsid w:val="00F12107"/>
    <w:rsid w:val="00F15BEE"/>
    <w:rsid w:val="00F16792"/>
    <w:rsid w:val="00F16915"/>
    <w:rsid w:val="00F1783D"/>
    <w:rsid w:val="00F21ED4"/>
    <w:rsid w:val="00F25757"/>
    <w:rsid w:val="00F272DA"/>
    <w:rsid w:val="00F31412"/>
    <w:rsid w:val="00F31F61"/>
    <w:rsid w:val="00F35018"/>
    <w:rsid w:val="00F402F5"/>
    <w:rsid w:val="00F511B2"/>
    <w:rsid w:val="00F51C55"/>
    <w:rsid w:val="00F55526"/>
    <w:rsid w:val="00F55EAC"/>
    <w:rsid w:val="00F625BB"/>
    <w:rsid w:val="00F668F2"/>
    <w:rsid w:val="00F705F7"/>
    <w:rsid w:val="00F74BC2"/>
    <w:rsid w:val="00F767C3"/>
    <w:rsid w:val="00F84448"/>
    <w:rsid w:val="00F90399"/>
    <w:rsid w:val="00F91893"/>
    <w:rsid w:val="00FA1843"/>
    <w:rsid w:val="00FA28A0"/>
    <w:rsid w:val="00FA5163"/>
    <w:rsid w:val="00FB4DF7"/>
    <w:rsid w:val="00FB5917"/>
    <w:rsid w:val="00FD088C"/>
    <w:rsid w:val="00FD1EEF"/>
    <w:rsid w:val="00FD2012"/>
    <w:rsid w:val="00FE1398"/>
    <w:rsid w:val="00FE6462"/>
    <w:rsid w:val="0385634A"/>
    <w:rsid w:val="06DF07DD"/>
    <w:rsid w:val="09EC2832"/>
    <w:rsid w:val="0A7C0412"/>
    <w:rsid w:val="0AA22362"/>
    <w:rsid w:val="0AC317E3"/>
    <w:rsid w:val="0C597059"/>
    <w:rsid w:val="0EE7435D"/>
    <w:rsid w:val="0F4B17FC"/>
    <w:rsid w:val="102D167B"/>
    <w:rsid w:val="11E76422"/>
    <w:rsid w:val="136B304F"/>
    <w:rsid w:val="16273291"/>
    <w:rsid w:val="16AD7C3A"/>
    <w:rsid w:val="1CD477DC"/>
    <w:rsid w:val="1CED1E4C"/>
    <w:rsid w:val="1CFD009B"/>
    <w:rsid w:val="1D5F5A06"/>
    <w:rsid w:val="1FB90B55"/>
    <w:rsid w:val="20CA0E10"/>
    <w:rsid w:val="21CD0A60"/>
    <w:rsid w:val="22A75E85"/>
    <w:rsid w:val="22B3417C"/>
    <w:rsid w:val="279B588D"/>
    <w:rsid w:val="2A6C53F0"/>
    <w:rsid w:val="2A7A3899"/>
    <w:rsid w:val="2ACE1408"/>
    <w:rsid w:val="2BA271EA"/>
    <w:rsid w:val="2C4441DB"/>
    <w:rsid w:val="2DAF631D"/>
    <w:rsid w:val="2DC23758"/>
    <w:rsid w:val="2DE41F75"/>
    <w:rsid w:val="2E241620"/>
    <w:rsid w:val="2F087CAC"/>
    <w:rsid w:val="30000983"/>
    <w:rsid w:val="31307046"/>
    <w:rsid w:val="322E2B17"/>
    <w:rsid w:val="3601278A"/>
    <w:rsid w:val="36B20DE1"/>
    <w:rsid w:val="375B2943"/>
    <w:rsid w:val="37FE41BA"/>
    <w:rsid w:val="381F1765"/>
    <w:rsid w:val="3AE80991"/>
    <w:rsid w:val="40994C08"/>
    <w:rsid w:val="446822C4"/>
    <w:rsid w:val="44975A66"/>
    <w:rsid w:val="46753A21"/>
    <w:rsid w:val="47F84D7E"/>
    <w:rsid w:val="4981092F"/>
    <w:rsid w:val="4E6323B1"/>
    <w:rsid w:val="4F2B1F16"/>
    <w:rsid w:val="500A301B"/>
    <w:rsid w:val="50463AE6"/>
    <w:rsid w:val="546D5D40"/>
    <w:rsid w:val="54B31E95"/>
    <w:rsid w:val="54D9161F"/>
    <w:rsid w:val="5621327D"/>
    <w:rsid w:val="57285565"/>
    <w:rsid w:val="598E4D65"/>
    <w:rsid w:val="5AF92D63"/>
    <w:rsid w:val="5AFD593B"/>
    <w:rsid w:val="5BB13B63"/>
    <w:rsid w:val="5BBB0DCD"/>
    <w:rsid w:val="5D6F74D9"/>
    <w:rsid w:val="5E005E6E"/>
    <w:rsid w:val="5F6E788A"/>
    <w:rsid w:val="65C019C4"/>
    <w:rsid w:val="66B443E8"/>
    <w:rsid w:val="66CC0FE3"/>
    <w:rsid w:val="672A3F31"/>
    <w:rsid w:val="675A61D9"/>
    <w:rsid w:val="6A9736B6"/>
    <w:rsid w:val="6AAB5737"/>
    <w:rsid w:val="6DA20747"/>
    <w:rsid w:val="6F391788"/>
    <w:rsid w:val="6F5B05A3"/>
    <w:rsid w:val="70EF5264"/>
    <w:rsid w:val="71827E1F"/>
    <w:rsid w:val="71CA611F"/>
    <w:rsid w:val="72E66F89"/>
    <w:rsid w:val="73F90A16"/>
    <w:rsid w:val="74025652"/>
    <w:rsid w:val="775E2C58"/>
    <w:rsid w:val="79125FA9"/>
    <w:rsid w:val="7A8C00F1"/>
    <w:rsid w:val="7BC977C3"/>
    <w:rsid w:val="7C8387A0"/>
    <w:rsid w:val="7CE53D89"/>
    <w:rsid w:val="7E4F1946"/>
    <w:rsid w:val="7EF3E888"/>
    <w:rsid w:val="7F616D09"/>
    <w:rsid w:val="7FA8044B"/>
    <w:rsid w:val="7FD92575"/>
    <w:rsid w:val="7FF7EE1E"/>
    <w:rsid w:val="AEDF7233"/>
    <w:rsid w:val="BDEF4622"/>
    <w:rsid w:val="BFFF319A"/>
    <w:rsid w:val="DA7A999E"/>
    <w:rsid w:val="DD53EB5B"/>
    <w:rsid w:val="DFCF09BE"/>
    <w:rsid w:val="E97F017C"/>
    <w:rsid w:val="EBF5B251"/>
    <w:rsid w:val="EFFEE4BE"/>
    <w:rsid w:val="F23F6F30"/>
    <w:rsid w:val="F3EFAC02"/>
    <w:rsid w:val="FB3F4A5B"/>
    <w:rsid w:val="FBE7E89D"/>
    <w:rsid w:val="FDDFFE7C"/>
    <w:rsid w:val="FF6F3566"/>
    <w:rsid w:val="FFBF0D81"/>
    <w:rsid w:val="FFFEC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spacing w:beforeAutospacing="1" w:afterAutospacing="1"/>
      <w:jc w:val="left"/>
    </w:pPr>
    <w:rPr>
      <w:rFonts w:cs="Times New Roman"/>
      <w:kern w:val="0"/>
      <w:sz w:val="24"/>
    </w:r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yperlink"/>
    <w:basedOn w:val="7"/>
    <w:autoRedefine/>
    <w:semiHidden/>
    <w:unhideWhenUsed/>
    <w:qFormat/>
    <w:uiPriority w:val="99"/>
    <w:rPr>
      <w:color w:val="333333"/>
      <w:u w:val="none"/>
    </w:rPr>
  </w:style>
  <w:style w:type="character" w:styleId="11">
    <w:name w:val="annotation reference"/>
    <w:basedOn w:val="7"/>
    <w:autoRedefine/>
    <w:semiHidden/>
    <w:unhideWhenUsed/>
    <w:qFormat/>
    <w:uiPriority w:val="99"/>
    <w:rPr>
      <w:sz w:val="21"/>
      <w:szCs w:val="21"/>
    </w:rPr>
  </w:style>
  <w:style w:type="character" w:customStyle="1" w:styleId="12">
    <w:name w:val="页眉 字符"/>
    <w:basedOn w:val="7"/>
    <w:link w:val="4"/>
    <w:autoRedefine/>
    <w:qFormat/>
    <w:uiPriority w:val="99"/>
    <w:rPr>
      <w:sz w:val="18"/>
      <w:szCs w:val="18"/>
    </w:rPr>
  </w:style>
  <w:style w:type="character" w:customStyle="1" w:styleId="13">
    <w:name w:val="页脚 字符"/>
    <w:basedOn w:val="7"/>
    <w:link w:val="3"/>
    <w:autoRedefine/>
    <w:qFormat/>
    <w:uiPriority w:val="99"/>
    <w:rPr>
      <w:sz w:val="18"/>
      <w:szCs w:val="18"/>
    </w:rPr>
  </w:style>
  <w:style w:type="paragraph" w:styleId="14">
    <w:name w:val="List Paragraph"/>
    <w:basedOn w:val="1"/>
    <w:autoRedefine/>
    <w:qFormat/>
    <w:uiPriority w:val="34"/>
    <w:pPr>
      <w:ind w:firstLine="420" w:firstLineChars="200"/>
    </w:pPr>
  </w:style>
  <w:style w:type="paragraph" w:customStyle="1" w:styleId="15">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7">
    <w:name w:val="Normal (Web)"/>
    <w:basedOn w:val="1"/>
    <w:autoRedefine/>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640</Words>
  <Characters>3654</Characters>
  <Lines>30</Lines>
  <Paragraphs>8</Paragraphs>
  <TotalTime>1</TotalTime>
  <ScaleCrop>false</ScaleCrop>
  <LinksUpToDate>false</LinksUpToDate>
  <CharactersWithSpaces>4286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2023-11-29T10:17:00Z</dcterms:created>
  <dc:creator>Lenovo User</dc:creator>
  <cp:lastModifiedBy>杨玮</cp:lastModifiedBy>
  <cp:lastPrinted>2024-02-03T16:29:00Z</cp:lastPrinted>
  <dcterms:modified xsi:type="dcterms:W3CDTF">2024-02-08T01:51:48Z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BF9E84247DB74709A37AD23944540D6B_13</vt:lpwstr>
  </property>
</Properties>
</file>