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3" w:firstLineChars="200"/>
        <w:rPr>
          <w:rStyle w:val="9"/>
          <w:rFonts w:hint="eastAsia" w:ascii="宋体" w:hAnsi="宋体" w:eastAsia="宋体" w:cs="宋体"/>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firstLine="880" w:firstLineChars="200"/>
        <w:textAlignment w:val="auto"/>
        <w:rPr>
          <w:rStyle w:val="9"/>
          <w:rFonts w:hint="eastAsia" w:ascii="方正小标宋_GBK" w:hAnsi="方正小标宋_GBK" w:eastAsia="方正小标宋_GBK" w:cs="方正小标宋_GBK"/>
          <w:b w:val="0"/>
          <w:bCs/>
          <w:sz w:val="44"/>
          <w:szCs w:val="44"/>
        </w:rPr>
      </w:pPr>
      <w:r>
        <w:rPr>
          <w:rStyle w:val="9"/>
          <w:rFonts w:hint="eastAsia" w:ascii="方正小标宋_GBK" w:hAnsi="方正小标宋_GBK" w:eastAsia="方正小标宋_GBK" w:cs="方正小标宋_GBK"/>
          <w:b w:val="0"/>
          <w:bCs/>
          <w:sz w:val="44"/>
          <w:szCs w:val="44"/>
        </w:rPr>
        <w:t>隆回县中药材产业发展情况</w:t>
      </w:r>
      <w:r>
        <w:rPr>
          <w:rStyle w:val="9"/>
          <w:rFonts w:hint="eastAsia" w:ascii="方正小标宋_GBK" w:hAnsi="方正小标宋_GBK" w:eastAsia="方正小标宋_GBK" w:cs="方正小标宋_GBK"/>
          <w:b w:val="0"/>
          <w:bCs/>
          <w:sz w:val="44"/>
          <w:szCs w:val="44"/>
          <w:lang w:eastAsia="zh-CN"/>
        </w:rPr>
        <w:t>汇报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9"/>
          <w:rFonts w:hint="eastAsia" w:ascii="楷体" w:hAnsi="楷体" w:eastAsia="楷体" w:cs="楷体"/>
          <w:b w:val="0"/>
          <w:sz w:val="32"/>
          <w:szCs w:val="32"/>
          <w:lang w:eastAsia="zh-CN"/>
        </w:rPr>
      </w:pPr>
      <w:r>
        <w:rPr>
          <w:rStyle w:val="9"/>
          <w:rFonts w:hint="eastAsia" w:ascii="楷体" w:hAnsi="楷体" w:eastAsia="楷体" w:cs="楷体"/>
          <w:b w:val="0"/>
          <w:sz w:val="32"/>
          <w:szCs w:val="32"/>
          <w:lang w:eastAsia="zh-CN"/>
        </w:rPr>
        <w:t>隆回县人民政府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9"/>
          <w:rFonts w:ascii="楷体" w:hAnsi="楷体" w:eastAsia="楷体" w:cs="楷体"/>
          <w:b w:val="0"/>
          <w:sz w:val="32"/>
          <w:szCs w:val="32"/>
        </w:rPr>
      </w:pPr>
      <w:r>
        <w:rPr>
          <w:rStyle w:val="9"/>
          <w:rFonts w:hint="eastAsia" w:ascii="楷体" w:hAnsi="楷体" w:eastAsia="楷体" w:cs="楷体"/>
          <w:b w:val="0"/>
          <w:sz w:val="32"/>
          <w:szCs w:val="32"/>
        </w:rPr>
        <w:t>2023年</w:t>
      </w:r>
      <w:r>
        <w:rPr>
          <w:rStyle w:val="9"/>
          <w:rFonts w:hint="eastAsia" w:ascii="楷体" w:hAnsi="楷体" w:eastAsia="楷体" w:cs="楷体"/>
          <w:b w:val="0"/>
          <w:sz w:val="32"/>
          <w:szCs w:val="32"/>
          <w:lang w:val="en-US" w:eastAsia="zh-CN"/>
        </w:rPr>
        <w:t>6</w:t>
      </w:r>
      <w:r>
        <w:rPr>
          <w:rStyle w:val="9"/>
          <w:rFonts w:hint="eastAsia" w:ascii="楷体" w:hAnsi="楷体" w:eastAsia="楷体" w:cs="楷体"/>
          <w:b w:val="0"/>
          <w:sz w:val="32"/>
          <w:szCs w:val="32"/>
        </w:rPr>
        <w:t>月</w:t>
      </w:r>
      <w:r>
        <w:rPr>
          <w:rStyle w:val="9"/>
          <w:rFonts w:hint="eastAsia" w:ascii="楷体" w:hAnsi="楷体" w:eastAsia="楷体" w:cs="楷体"/>
          <w:b w:val="0"/>
          <w:sz w:val="32"/>
          <w:szCs w:val="32"/>
          <w:lang w:val="en-US" w:eastAsia="zh-CN"/>
        </w:rPr>
        <w:t>3</w:t>
      </w:r>
      <w:r>
        <w:rPr>
          <w:rStyle w:val="9"/>
          <w:rFonts w:hint="eastAsia" w:ascii="楷体" w:hAnsi="楷体" w:eastAsia="楷体" w:cs="楷体"/>
          <w:b w:val="0"/>
          <w:sz w:val="32"/>
          <w:szCs w:val="32"/>
        </w:rPr>
        <w:t>日</w:t>
      </w:r>
    </w:p>
    <w:p>
      <w:pPr>
        <w:adjustRightInd w:val="0"/>
        <w:snapToGrid w:val="0"/>
        <w:spacing w:line="560" w:lineRule="exact"/>
        <w:ind w:firstLine="640" w:firstLineChars="200"/>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隆回县位于湘中偏西南，总面积2868平方公里，总人口130万，是典型的农业大县。我县</w:t>
      </w:r>
      <w:r>
        <w:rPr>
          <w:rFonts w:hint="eastAsia" w:ascii="仿宋" w:hAnsi="仿宋" w:eastAsia="仿宋" w:cs="仿宋"/>
          <w:sz w:val="32"/>
          <w:szCs w:val="32"/>
        </w:rPr>
        <w:t>地处衡邵盆地向雪峰山地过度地带，属亚热带湿润季风气候区，复杂的地质构造及独特的山区环境, 风化形成的土壤或地表岩层中,富含各种有益的矿化元素,适宜多种类生物生长繁衍,形成天然的中药材宝库，境内中药材资源1028种，其中人工种植的有一百多种，尤以金银花、龙牙百合著名</w:t>
      </w:r>
      <w:r>
        <w:rPr>
          <w:rFonts w:hint="eastAsia" w:ascii="仿宋" w:hAnsi="仿宋" w:eastAsia="仿宋" w:cs="仿宋"/>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84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一、当前中药材产业发展工作措施</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（一）创新产业发展新机制。</w:t>
      </w:r>
      <w:r>
        <w:rPr>
          <w:rFonts w:hint="eastAsia" w:ascii="方正仿宋_GB2312" w:hAnsi="方正仿宋_GB2312" w:eastAsia="方正仿宋_GB2312" w:cs="方正仿宋_GB2312"/>
          <w:sz w:val="32"/>
          <w:szCs w:val="32"/>
          <w:lang w:val="en-US" w:eastAsia="zh-CN"/>
        </w:rPr>
        <w:t>我县高度重视中药材产业发展，在全县推行“重点产业链链长制”，把以金银花和龙牙百合为主的中药材产业作为六大“重点产业链”之一，实行“一条产业链、一名链长、一个产业规划、一个年度计划、一套支持政策”的“五个一”工作机制。由县长任链长，建立了农业农村、高新区、卫健、国土、发改、商务等部门联动推进专班。力争在未来5年内，金银花和龙牙百合种植面积分别达到30万亩和5万亩，建成中药材道地产业园、中药材物流中心，把隆回打造成全国金银花、龙牙百合重要交易中心，发挥宝庆大森林、鸿利药业、盛世丰花等龙头企业示范带动作用，力争引进一批中医药、生物医药生产企业，推动中药材原料种植、制造、服务业等全产业链发展，着力打造综合产值超100亿元的产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lang w:val="en-US" w:eastAsia="zh-CN"/>
        </w:rPr>
        <w:t>（二）拓展品牌宣传渠道。</w:t>
      </w:r>
      <w:r>
        <w:rPr>
          <w:rFonts w:hint="eastAsia" w:ascii="方正仿宋_GB2312" w:hAnsi="方正仿宋_GB2312" w:eastAsia="方正仿宋_GB2312" w:cs="方正仿宋_GB2312"/>
          <w:sz w:val="32"/>
          <w:szCs w:val="32"/>
        </w:rPr>
        <w:t>采取“走出去”的宣传推介模式，安排资金将广告做到高铁专列上，将品牌广告做到了北上广及省会城市，同时我县品牌视屏广告也做到了天安门广场宣传专栏上。县内在高速两边专栏、高铁站宣传栏均做了广告</w:t>
      </w:r>
      <w:r>
        <w:rPr>
          <w:rFonts w:hint="eastAsia" w:ascii="方正仿宋_GB2312" w:hAnsi="方正仿宋_GB2312" w:eastAsia="方正仿宋_GB2312" w:cs="方正仿宋_GB2312"/>
          <w:sz w:val="32"/>
          <w:szCs w:val="32"/>
          <w:lang w:eastAsia="zh-CN"/>
        </w:rPr>
        <w:t>宣传</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lang w:val="en-US" w:eastAsia="zh-CN"/>
        </w:rPr>
        <w:t>（三）坚持与乡村振兴有机融合。</w:t>
      </w:r>
      <w:r>
        <w:rPr>
          <w:rFonts w:hint="eastAsia" w:ascii="方正仿宋_GB2312" w:hAnsi="方正仿宋_GB2312" w:eastAsia="方正仿宋_GB2312" w:cs="方正仿宋_GB2312"/>
          <w:sz w:val="32"/>
          <w:szCs w:val="32"/>
        </w:rPr>
        <w:t>通过产业帮扶，我县金银花企业与种花大户通过委托帮扶，“企业+农户”，“企业+合作社+基地+农户”，资金入股，“保底+分红”等多种方式，为农户提供就业岗位，建立利益联结机制，带动农户增收。我县农村人均可支配收入增速全市第一，达到8.7%，农村人均可支配收入15197元，花农的人均可支配收入可到达17000元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（四）走药旅融合发展路子。</w:t>
      </w:r>
      <w:r>
        <w:rPr>
          <w:rFonts w:hint="eastAsia" w:ascii="方正仿宋_GB2312" w:hAnsi="方正仿宋_GB2312" w:eastAsia="方正仿宋_GB2312" w:cs="方正仿宋_GB2312"/>
          <w:sz w:val="32"/>
          <w:szCs w:val="32"/>
          <w:lang w:val="en-US" w:eastAsia="zh-CN"/>
        </w:rPr>
        <w:t>鉴于隆回县“北银花、南百合”的中药材生长特性，利用已有市场知名度的品牌旅游产品，构建药旅融合体系：以虎形山- 花瑶景区和岩口镇-向家村牛天岭景区为重心，在景区或周边打造一批药旅景点或药旅康养项目，开发旅游、文创产品，逐步实现药旅融合。充分发挥旅游业与中药材产业互相促进、关联带动的作用，以旅促药、以药带旅，推进中药材产业链纵深发展。</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color w:val="000000"/>
          <w:sz w:val="32"/>
          <w:szCs w:val="32"/>
        </w:rPr>
        <w:t>中药材</w:t>
      </w:r>
      <w:r>
        <w:rPr>
          <w:rFonts w:hint="eastAsia" w:ascii="黑体" w:hAnsi="黑体" w:eastAsia="黑体" w:cs="黑体"/>
          <w:b w:val="0"/>
          <w:bCs w:val="0"/>
          <w:color w:val="000000"/>
          <w:sz w:val="32"/>
          <w:szCs w:val="32"/>
          <w:lang w:val="en-US" w:eastAsia="zh-CN"/>
        </w:rPr>
        <w:t>产业</w:t>
      </w:r>
      <w:r>
        <w:rPr>
          <w:rFonts w:hint="eastAsia" w:ascii="黑体" w:hAnsi="黑体" w:eastAsia="黑体" w:cs="黑体"/>
          <w:b w:val="0"/>
          <w:bCs w:val="0"/>
          <w:color w:val="000000"/>
          <w:sz w:val="32"/>
          <w:szCs w:val="32"/>
          <w:lang w:eastAsia="zh-CN"/>
        </w:rPr>
        <w:t>发展优势</w:t>
      </w:r>
    </w:p>
    <w:p>
      <w:pPr>
        <w:pStyle w:val="4"/>
        <w:keepNext w:val="0"/>
        <w:keepLines w:val="0"/>
        <w:pageBreakBefore w:val="0"/>
        <w:kinsoku/>
        <w:wordWrap/>
        <w:overflowPunct/>
        <w:topLinePunct w:val="0"/>
        <w:autoSpaceDE/>
        <w:autoSpaceDN/>
        <w:bidi w:val="0"/>
        <w:spacing w:before="0" w:line="560" w:lineRule="exact"/>
        <w:ind w:left="0"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隆回中药材种植历史悠久，据考证，隆回金银花起源于南宋时期，在清代已盛产野生金银花，上世纪八十年代在小沙江地区开始大量人工种植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龙牙百合种植历史追溯至宋朝，曾为朝廷贡品，人工规模化栽培始于清末民初</w:t>
      </w:r>
      <w:r>
        <w:rPr>
          <w:rFonts w:hint="eastAsia" w:ascii="方正仿宋_GB2312" w:hAnsi="方正仿宋_GB2312" w:eastAsia="方正仿宋_GB2312" w:cs="方正仿宋_GB2312"/>
          <w:sz w:val="32"/>
          <w:szCs w:val="32"/>
          <w:lang w:eastAsia="zh-CN"/>
        </w:rPr>
        <w:t>。全县</w:t>
      </w:r>
      <w:r>
        <w:rPr>
          <w:rFonts w:hint="eastAsia" w:ascii="方正仿宋_GB2312" w:hAnsi="方正仿宋_GB2312" w:eastAsia="方正仿宋_GB2312" w:cs="方正仿宋_GB2312"/>
          <w:color w:val="000000"/>
          <w:sz w:val="32"/>
          <w:szCs w:val="32"/>
        </w:rPr>
        <w:t>主要栽培品种有金银花、龙牙百合、玉竹、牛膝、白术、玄参、杜仲、黄柏、厚朴、太子参、菊花、玫瑰等，其中金银花、龙牙百合在全国形成了较大的影响力和品牌价值。</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color w:val="000000"/>
          <w:sz w:val="32"/>
          <w:szCs w:val="32"/>
          <w:lang w:val="en-US" w:eastAsia="zh-CN"/>
        </w:rPr>
        <w:t>自然条件优越。</w:t>
      </w:r>
      <w:r>
        <w:rPr>
          <w:rFonts w:hint="eastAsia" w:ascii="方正仿宋_GB2312" w:hAnsi="方正仿宋_GB2312" w:eastAsia="方正仿宋_GB2312" w:cs="方正仿宋_GB2312"/>
          <w:b/>
          <w:bCs/>
          <w:sz w:val="32"/>
          <w:szCs w:val="32"/>
          <w:lang w:eastAsia="zh-CN"/>
        </w:rPr>
        <w:t>气候适宜。</w:t>
      </w:r>
      <w:r>
        <w:rPr>
          <w:rFonts w:hint="eastAsia" w:ascii="方正仿宋_GB2312" w:hAnsi="方正仿宋_GB2312" w:eastAsia="方正仿宋_GB2312" w:cs="方正仿宋_GB2312"/>
          <w:sz w:val="32"/>
          <w:szCs w:val="32"/>
        </w:rPr>
        <w:t>隆回县域属中</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"https://baike.sogou.com/lemma/ShowInnerLink.htm?lemmaId=73686332&amp;ss_c=ssc.citiao.link" \t "https://baike.sogou.com/_blank"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亚热带季风湿润气候</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，气候温和，四季分明，雨量集中，前湿后干，且</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"https://baike.sogou.com/lemma/ShowInnerLink.htm?lemmaId=7709608&amp;ss_c=ssc.citiao.link" \t "https://baike.sogou.com/_blank"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南北差异</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较大。年日平均气温11～17℃。年平均无霜期281.2d。</w:t>
      </w:r>
      <w:r>
        <w:rPr>
          <w:rFonts w:hint="eastAsia" w:ascii="方正仿宋_GB2312" w:hAnsi="方正仿宋_GB2312" w:eastAsia="方正仿宋_GB2312" w:cs="方正仿宋_GB2312"/>
          <w:sz w:val="32"/>
          <w:szCs w:val="32"/>
          <w:lang w:eastAsia="zh-CN"/>
        </w:rPr>
        <w:t>全县</w:t>
      </w:r>
      <w:r>
        <w:rPr>
          <w:rFonts w:hint="eastAsia" w:ascii="方正仿宋_GB2312" w:hAnsi="方正仿宋_GB2312" w:eastAsia="方正仿宋_GB2312" w:cs="方正仿宋_GB2312"/>
          <w:sz w:val="32"/>
          <w:szCs w:val="32"/>
        </w:rPr>
        <w:t>年日平均气温11～17℃，</w:t>
      </w:r>
      <w:r>
        <w:rPr>
          <w:rFonts w:hint="eastAsia" w:ascii="方正仿宋_GB2312" w:hAnsi="方正仿宋_GB2312" w:eastAsia="方正仿宋_GB2312" w:cs="方正仿宋_GB2312"/>
          <w:sz w:val="32"/>
          <w:szCs w:val="32"/>
          <w:lang w:eastAsia="zh-CN"/>
        </w:rPr>
        <w:t>适宜中药材生长。</w:t>
      </w:r>
      <w:r>
        <w:rPr>
          <w:rFonts w:hint="eastAsia" w:ascii="方正仿宋_GB2312" w:hAnsi="方正仿宋_GB2312" w:eastAsia="方正仿宋_GB2312" w:cs="方正仿宋_GB2312"/>
          <w:sz w:val="32"/>
          <w:szCs w:val="32"/>
        </w:rPr>
        <w:t>小沙江金银花主产区年平均日气温11～14℃，一般年份2月下旬气温5～10℃，4～8月气温15～30℃。最温度30℃，极端最低温度-17.2℃，无霜期202天，≥10℃年活动积温2961～4068℃，适宜金银花</w:t>
      </w:r>
      <w:r>
        <w:rPr>
          <w:rFonts w:hint="eastAsia" w:ascii="方正仿宋_GB2312" w:hAnsi="方正仿宋_GB2312" w:eastAsia="方正仿宋_GB2312" w:cs="方正仿宋_GB2312"/>
          <w:sz w:val="32"/>
          <w:szCs w:val="32"/>
          <w:lang w:eastAsia="zh-CN"/>
        </w:rPr>
        <w:t>等中药材生长</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b/>
          <w:bCs/>
          <w:sz w:val="32"/>
          <w:szCs w:val="32"/>
          <w:lang w:eastAsia="zh-CN"/>
        </w:rPr>
        <w:t>光照充足。</w:t>
      </w:r>
      <w:r>
        <w:rPr>
          <w:rFonts w:hint="eastAsia" w:ascii="方正仿宋_GB2312" w:hAnsi="方正仿宋_GB2312" w:eastAsia="方正仿宋_GB2312" w:cs="方正仿宋_GB2312"/>
          <w:sz w:val="32"/>
          <w:szCs w:val="32"/>
        </w:rPr>
        <w:t>隆回县年日照时数在1119.7～1404.5小时之间，历年年平均日照时数为1256.4小时，一年之中，以2月份日照时数最少，为58.3小时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以7月份日照时数最多，为245.3小时，日照时数的递增趋势与夏秋作物生长势一致，有利于</w:t>
      </w:r>
      <w:r>
        <w:rPr>
          <w:rFonts w:hint="eastAsia" w:ascii="方正仿宋_GB2312" w:hAnsi="方正仿宋_GB2312" w:eastAsia="方正仿宋_GB2312" w:cs="方正仿宋_GB2312"/>
          <w:sz w:val="32"/>
          <w:szCs w:val="32"/>
          <w:lang w:eastAsia="zh-CN"/>
        </w:rPr>
        <w:t>中药材</w:t>
      </w:r>
      <w:r>
        <w:rPr>
          <w:rFonts w:hint="eastAsia" w:ascii="方正仿宋_GB2312" w:hAnsi="方正仿宋_GB2312" w:eastAsia="方正仿宋_GB2312" w:cs="方正仿宋_GB2312"/>
          <w:sz w:val="32"/>
          <w:szCs w:val="32"/>
        </w:rPr>
        <w:t>的生长发育。</w:t>
      </w:r>
    </w:p>
    <w:p>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降水丰沛。</w:t>
      </w:r>
      <w:r>
        <w:rPr>
          <w:rFonts w:hint="eastAsia" w:ascii="方正仿宋_GB2312" w:hAnsi="方正仿宋_GB2312" w:eastAsia="方正仿宋_GB2312" w:cs="方正仿宋_GB2312"/>
          <w:b w:val="0"/>
          <w:bCs w:val="0"/>
          <w:sz w:val="32"/>
          <w:szCs w:val="32"/>
          <w:lang w:eastAsia="zh-CN"/>
        </w:rPr>
        <w:t>隆回年</w:t>
      </w:r>
      <w:r>
        <w:rPr>
          <w:rFonts w:hint="eastAsia" w:ascii="方正仿宋_GB2312" w:hAnsi="方正仿宋_GB2312" w:eastAsia="方正仿宋_GB2312" w:cs="方正仿宋_GB2312"/>
          <w:sz w:val="32"/>
          <w:szCs w:val="32"/>
        </w:rPr>
        <w:t>降水量在1182.7～1764.9mm之间，年平均降水量为1437.3mm。</w:t>
      </w:r>
      <w:r>
        <w:rPr>
          <w:rFonts w:hint="eastAsia" w:ascii="方正仿宋_GB2312" w:hAnsi="方正仿宋_GB2312" w:eastAsia="方正仿宋_GB2312" w:cs="方正仿宋_GB2312"/>
          <w:b/>
          <w:sz w:val="32"/>
          <w:szCs w:val="32"/>
        </w:rPr>
        <w:t>土壤</w:t>
      </w:r>
      <w:r>
        <w:rPr>
          <w:rFonts w:hint="eastAsia" w:ascii="方正仿宋_GB2312" w:hAnsi="方正仿宋_GB2312" w:eastAsia="方正仿宋_GB2312" w:cs="方正仿宋_GB2312"/>
          <w:b/>
          <w:sz w:val="32"/>
          <w:szCs w:val="32"/>
          <w:lang w:eastAsia="zh-CN"/>
        </w:rPr>
        <w:t>优良。</w:t>
      </w:r>
      <w:r>
        <w:rPr>
          <w:rFonts w:hint="eastAsia" w:ascii="方正仿宋_GB2312" w:hAnsi="方正仿宋_GB2312" w:eastAsia="方正仿宋_GB2312" w:cs="方正仿宋_GB2312"/>
          <w:sz w:val="32"/>
          <w:szCs w:val="32"/>
        </w:rPr>
        <w:t>以小沙江地区为主的金银花产业带的土壤主要是花岗岩发育而成的黄麻砂土、黄棕壤土，土层深厚，土质疏松，通透性好，不易积水。据湖南省土壤肥料研究所抽样检验，土壤PH值6.0～6.1，有机质含量</w:t>
      </w:r>
      <w:r>
        <w:rPr>
          <w:rFonts w:hint="eastAsia" w:ascii="方正仿宋_GB2312" w:hAnsi="方正仿宋_GB2312" w:eastAsia="方正仿宋_GB2312" w:cs="方正仿宋_GB2312"/>
          <w:sz w:val="32"/>
          <w:szCs w:val="32"/>
          <w:lang w:eastAsia="zh-CN"/>
        </w:rPr>
        <w:t>2.24%～4.99%</w:t>
      </w:r>
      <w:r>
        <w:rPr>
          <w:rFonts w:hint="eastAsia" w:ascii="方正仿宋_GB2312" w:hAnsi="方正仿宋_GB2312" w:eastAsia="方正仿宋_GB2312" w:cs="方正仿宋_GB2312"/>
          <w:sz w:val="32"/>
          <w:szCs w:val="32"/>
        </w:rPr>
        <w:t>，碱解氮含量平均值229.3mg/kg，N、P、K含量均较丰富，土壤总肥力水平较高，有利于金银花良种繁育的高产优质。2003年，经中国科学院南京土壤研究所专家分析检测，隆回全境富硒，与湖北恩施、陕西紫阳堪称中国三大硒都，面积居三者之首。</w:t>
      </w:r>
      <w:r>
        <w:rPr>
          <w:rFonts w:hint="eastAsia" w:ascii="方正仿宋_GB2312" w:hAnsi="方正仿宋_GB2312" w:eastAsia="方正仿宋_GB2312" w:cs="方正仿宋_GB2312"/>
          <w:b/>
          <w:sz w:val="32"/>
          <w:szCs w:val="32"/>
        </w:rPr>
        <w:t>水资源</w:t>
      </w:r>
      <w:r>
        <w:rPr>
          <w:rFonts w:hint="eastAsia" w:ascii="方正仿宋_GB2312" w:hAnsi="方正仿宋_GB2312" w:eastAsia="方正仿宋_GB2312" w:cs="方正仿宋_GB2312"/>
          <w:b/>
          <w:sz w:val="32"/>
          <w:szCs w:val="32"/>
          <w:lang w:eastAsia="zh-CN"/>
        </w:rPr>
        <w:t>丰富。</w:t>
      </w:r>
      <w:r>
        <w:rPr>
          <w:rFonts w:hint="eastAsia" w:ascii="方正仿宋_GB2312" w:hAnsi="方正仿宋_GB2312" w:eastAsia="方正仿宋_GB2312" w:cs="方正仿宋_GB2312"/>
          <w:sz w:val="32"/>
          <w:szCs w:val="32"/>
        </w:rPr>
        <w:t>境内河流分属资水水系和</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"https://baike.sogou.com/lemma/ShowInnerLink.htm?lemmaId=71690469&amp;ss_c=ssc.citiao.link" \t "https://baike.sogou.com/_blank"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沅水水系</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。全县有流长5km、流域面积10km</w:t>
      </w:r>
      <w:r>
        <w:rPr>
          <w:rFonts w:hint="eastAsia" w:ascii="方正仿宋_GB2312" w:hAnsi="方正仿宋_GB2312" w:eastAsia="方正仿宋_GB2312" w:cs="方正仿宋_GB2312"/>
          <w:sz w:val="32"/>
          <w:szCs w:val="32"/>
          <w:vertAlign w:val="superscript"/>
        </w:rPr>
        <w:t>2</w:t>
      </w:r>
      <w:r>
        <w:rPr>
          <w:rFonts w:hint="eastAsia" w:ascii="方正仿宋_GB2312" w:hAnsi="方正仿宋_GB2312" w:eastAsia="方正仿宋_GB2312" w:cs="方正仿宋_GB2312"/>
          <w:sz w:val="32"/>
          <w:szCs w:val="32"/>
        </w:rPr>
        <w:t>以上的河流71条，总长2073.5km，河网密度0.77km/km</w:t>
      </w:r>
      <w:r>
        <w:rPr>
          <w:rFonts w:hint="eastAsia" w:ascii="方正仿宋_GB2312" w:hAnsi="方正仿宋_GB2312" w:eastAsia="方正仿宋_GB2312" w:cs="方正仿宋_GB2312"/>
          <w:sz w:val="32"/>
          <w:szCs w:val="32"/>
          <w:vertAlign w:val="superscript"/>
        </w:rPr>
        <w:t>2</w:t>
      </w:r>
      <w:r>
        <w:rPr>
          <w:rFonts w:hint="eastAsia" w:ascii="方正仿宋_GB2312" w:hAnsi="方正仿宋_GB2312" w:eastAsia="方正仿宋_GB2312" w:cs="方正仿宋_GB2312"/>
          <w:sz w:val="32"/>
          <w:szCs w:val="32"/>
        </w:rPr>
        <w:t>。年均地表径流总量22.47亿m</w:t>
      </w:r>
      <w:r>
        <w:rPr>
          <w:rFonts w:hint="eastAsia" w:ascii="方正仿宋_GB2312" w:hAnsi="方正仿宋_GB2312" w:eastAsia="方正仿宋_GB2312" w:cs="方正仿宋_GB2312"/>
          <w:sz w:val="32"/>
          <w:szCs w:val="32"/>
          <w:vertAlign w:val="superscript"/>
        </w:rPr>
        <w:t>3</w:t>
      </w:r>
      <w:r>
        <w:rPr>
          <w:rFonts w:hint="eastAsia" w:ascii="方正仿宋_GB2312" w:hAnsi="方正仿宋_GB2312" w:eastAsia="方正仿宋_GB2312" w:cs="方正仿宋_GB2312"/>
          <w:sz w:val="32"/>
          <w:szCs w:val="32"/>
        </w:rPr>
        <w:t>，地下水年前储量</w:t>
      </w:r>
      <w:r>
        <w:rPr>
          <w:rFonts w:hint="eastAsia" w:ascii="方正仿宋_GB2312" w:hAnsi="方正仿宋_GB2312" w:eastAsia="方正仿宋_GB2312" w:cs="方正仿宋_GB2312"/>
          <w:sz w:val="32"/>
          <w:szCs w:val="32"/>
          <w:lang w:eastAsia="zh-CN"/>
        </w:rPr>
        <w:t>3.6亿～4.8亿</w:t>
      </w:r>
      <w:r>
        <w:rPr>
          <w:rFonts w:hint="eastAsia" w:ascii="方正仿宋_GB2312" w:hAnsi="方正仿宋_GB2312" w:eastAsia="方正仿宋_GB2312" w:cs="方正仿宋_GB2312"/>
          <w:sz w:val="32"/>
          <w:szCs w:val="32"/>
        </w:rPr>
        <w:t>m</w:t>
      </w:r>
      <w:r>
        <w:rPr>
          <w:rFonts w:hint="eastAsia" w:ascii="方正仿宋_GB2312" w:hAnsi="方正仿宋_GB2312" w:eastAsia="方正仿宋_GB2312" w:cs="方正仿宋_GB2312"/>
          <w:sz w:val="32"/>
          <w:szCs w:val="32"/>
          <w:vertAlign w:val="superscript"/>
        </w:rPr>
        <w:t>3</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（二)种植面积初具规模。</w:t>
      </w:r>
      <w:r>
        <w:rPr>
          <w:rFonts w:hint="eastAsia" w:ascii="方正仿宋_GB2312" w:hAnsi="方正仿宋_GB2312" w:eastAsia="方正仿宋_GB2312" w:cs="方正仿宋_GB2312"/>
          <w:sz w:val="32"/>
          <w:szCs w:val="32"/>
        </w:rPr>
        <w:t>隆回中药材享誉国内外，是全国著名的“金银花、龙牙百合之乡”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也是全国最大的金银花原生态种植基地县和全国金银花贸易集散中心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我县</w:t>
      </w:r>
      <w:r>
        <w:rPr>
          <w:rFonts w:hint="eastAsia" w:ascii="方正仿宋_GB2312" w:hAnsi="方正仿宋_GB2312" w:eastAsia="方正仿宋_GB2312" w:cs="方正仿宋_GB2312"/>
          <w:sz w:val="32"/>
          <w:szCs w:val="32"/>
        </w:rPr>
        <w:t>金银花、龙牙百合都是国家地理标志保护品种，种植面积和产值均位居全省首位。</w:t>
      </w:r>
      <w:r>
        <w:rPr>
          <w:rFonts w:hint="eastAsia" w:ascii="方正仿宋_GB2312" w:hAnsi="方正仿宋_GB2312" w:eastAsia="方正仿宋_GB2312" w:cs="方正仿宋_GB2312"/>
          <w:sz w:val="32"/>
          <w:szCs w:val="32"/>
          <w:lang w:val="en-US" w:eastAsia="zh-CN"/>
        </w:rPr>
        <w:t>现有金银花种植面积23万亩，年干花产量1.5万吨左右，产量占全国的50%，年产值达40亿元。</w:t>
      </w:r>
      <w:r>
        <w:rPr>
          <w:rFonts w:hint="eastAsia" w:ascii="方正仿宋_GB2312" w:hAnsi="方正仿宋_GB2312" w:eastAsia="方正仿宋_GB2312" w:cs="方正仿宋_GB2312"/>
          <w:sz w:val="32"/>
          <w:szCs w:val="32"/>
        </w:rPr>
        <w:t>第二大栽培品种</w:t>
      </w:r>
      <w:r>
        <w:rPr>
          <w:rFonts w:hint="eastAsia" w:ascii="方正仿宋_GB2312" w:hAnsi="方正仿宋_GB2312" w:eastAsia="方正仿宋_GB2312" w:cs="方正仿宋_GB2312"/>
          <w:sz w:val="32"/>
          <w:szCs w:val="32"/>
          <w:lang w:val="en-US" w:eastAsia="zh-CN"/>
        </w:rPr>
        <w:t>龙牙百合</w:t>
      </w:r>
      <w:r>
        <w:rPr>
          <w:rFonts w:hint="eastAsia" w:ascii="方正仿宋_GB2312" w:hAnsi="方正仿宋_GB2312" w:eastAsia="方正仿宋_GB2312" w:cs="方正仿宋_GB2312"/>
          <w:sz w:val="32"/>
          <w:szCs w:val="32"/>
        </w:rPr>
        <w:t>，总面积近</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万亩，年产干百合</w:t>
      </w:r>
      <w:r>
        <w:rPr>
          <w:rFonts w:hint="eastAsia" w:ascii="方正仿宋_GB2312" w:hAnsi="方正仿宋_GB2312" w:eastAsia="方正仿宋_GB2312" w:cs="方正仿宋_GB2312"/>
          <w:sz w:val="32"/>
          <w:szCs w:val="32"/>
          <w:lang w:val="en-US" w:eastAsia="zh-CN"/>
        </w:rPr>
        <w:t>1.5万</w:t>
      </w:r>
      <w:r>
        <w:rPr>
          <w:rFonts w:hint="eastAsia" w:ascii="方正仿宋_GB2312" w:hAnsi="方正仿宋_GB2312" w:eastAsia="方正仿宋_GB2312" w:cs="方正仿宋_GB2312"/>
          <w:sz w:val="32"/>
          <w:szCs w:val="32"/>
        </w:rPr>
        <w:t>吨，鲜百合约5万吨，</w:t>
      </w:r>
      <w:r>
        <w:rPr>
          <w:rFonts w:hint="eastAsia" w:ascii="方正仿宋_GB2312" w:hAnsi="方正仿宋_GB2312" w:eastAsia="方正仿宋_GB2312" w:cs="方正仿宋_GB2312"/>
          <w:sz w:val="32"/>
          <w:szCs w:val="32"/>
          <w:lang w:val="en-US" w:eastAsia="zh-CN"/>
        </w:rPr>
        <w:t>占全国龙牙百合产销量60%以上，</w:t>
      </w:r>
      <w:r>
        <w:rPr>
          <w:rFonts w:hint="eastAsia" w:ascii="方正仿宋_GB2312" w:hAnsi="方正仿宋_GB2312" w:eastAsia="方正仿宋_GB2312" w:cs="方正仿宋_GB2312"/>
          <w:sz w:val="32"/>
          <w:szCs w:val="32"/>
        </w:rPr>
        <w:t>综合产值约</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亿元。</w:t>
      </w:r>
      <w:r>
        <w:rPr>
          <w:rFonts w:hint="eastAsia" w:ascii="方正仿宋_GB2312" w:hAnsi="方正仿宋_GB2312" w:eastAsia="方正仿宋_GB2312" w:cs="方正仿宋_GB2312"/>
          <w:sz w:val="32"/>
          <w:szCs w:val="32"/>
          <w:lang w:val="en-US" w:eastAsia="zh-CN"/>
        </w:rPr>
        <w:t>经过数十年历届隆回县委政府的精心引导培育，隆回中药材产业链已日趋完善，2019年金银花、</w:t>
      </w:r>
      <w:r>
        <w:rPr>
          <w:rFonts w:hint="eastAsia" w:ascii="方正仿宋_GB2312" w:hAnsi="方正仿宋_GB2312" w:eastAsia="方正仿宋_GB2312" w:cs="方正仿宋_GB2312"/>
          <w:sz w:val="32"/>
          <w:szCs w:val="32"/>
          <w:lang w:eastAsia="zh-CN"/>
        </w:rPr>
        <w:t>龙牙百合成功遴选进入“湘九味”，成为湖南中药材一张响亮名片。</w:t>
      </w:r>
      <w:r>
        <w:rPr>
          <w:rFonts w:hint="eastAsia" w:ascii="方正仿宋_GB2312" w:hAnsi="方正仿宋_GB2312" w:eastAsia="方正仿宋_GB2312" w:cs="方正仿宋_GB2312"/>
          <w:b/>
          <w:bCs/>
          <w:sz w:val="32"/>
          <w:szCs w:val="32"/>
          <w:lang w:val="en-US" w:eastAsia="zh-CN"/>
        </w:rPr>
        <w:t>初级加工企业众多。</w:t>
      </w:r>
      <w:r>
        <w:rPr>
          <w:rFonts w:hint="eastAsia" w:ascii="方正仿宋_GB2312" w:hAnsi="方正仿宋_GB2312" w:eastAsia="方正仿宋_GB2312" w:cs="方正仿宋_GB2312"/>
          <w:sz w:val="32"/>
          <w:szCs w:val="32"/>
          <w:lang w:val="en-US" w:eastAsia="zh-CN"/>
        </w:rPr>
        <w:t>我县有中药材初加工厂数百家，金银花、龙牙百合年加工能力可达3万吨以上，全县95%以上的金银花、百合可实现无公害机械化加工。同时，全县大力发展建设基地冷库、仓储及分级分拣设施，建成冷链仓储设施18万立方米，为我县建成全国金银花、龙牙百合重点产业链区奠定了深厚的基础。目前小沙江地区已成为全国生产规模最大的金银花初加工产业群。北山、山界是龙牙百合的初加工集散中心。</w:t>
      </w:r>
      <w:r>
        <w:rPr>
          <w:rFonts w:hint="eastAsia" w:ascii="方正仿宋_GB2312" w:hAnsi="方正仿宋_GB2312" w:eastAsia="方正仿宋_GB2312" w:cs="方正仿宋_GB2312"/>
          <w:b/>
          <w:bCs/>
          <w:sz w:val="32"/>
          <w:szCs w:val="32"/>
          <w:lang w:val="en-US" w:eastAsia="zh-CN"/>
        </w:rPr>
        <w:t>精深加工蓄势待发。</w:t>
      </w:r>
      <w:r>
        <w:rPr>
          <w:rFonts w:hint="eastAsia" w:ascii="方正仿宋_GB2312" w:hAnsi="方正仿宋_GB2312" w:eastAsia="方正仿宋_GB2312" w:cs="方正仿宋_GB2312"/>
          <w:sz w:val="32"/>
          <w:szCs w:val="32"/>
          <w:lang w:val="en-US" w:eastAsia="zh-CN"/>
        </w:rPr>
        <w:t>隆回目前有中药材农业省级龙头企业8家，对产业发展起到了较好的示范引领作用。特别是在精深加工方面，盛世丰花、三珍农业等企业开发出了金银花益生菌、金银花牙膏、金银花饲料添加剂、龙牙百合琵琶膏、龙牙百合速食面等精深加工产品，突破了我县一直以来卖原材料的桎梏，提升了产品的科技含量与附加值，为延伸产业链条提供了坚实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ascii="方正楷体_GBK" w:hAnsi="方正楷体_GBK" w:eastAsia="方正楷体_GBK" w:cs="方正楷体_GBK"/>
          <w:b/>
          <w:bCs/>
          <w:sz w:val="32"/>
          <w:szCs w:val="32"/>
          <w:lang w:val="en-US" w:eastAsia="zh-CN"/>
        </w:rPr>
        <w:t>（三）市场销售网络已然成势。</w:t>
      </w:r>
      <w:r>
        <w:rPr>
          <w:rFonts w:hint="eastAsia" w:ascii="方正仿宋_GB2312" w:hAnsi="方正仿宋_GB2312" w:eastAsia="方正仿宋_GB2312" w:cs="方正仿宋_GB2312"/>
          <w:sz w:val="32"/>
          <w:szCs w:val="32"/>
          <w:lang w:val="en-US" w:eastAsia="zh-CN"/>
        </w:rPr>
        <w:t>小沙江的中药材批发市场，现有省内外客户170多家，形成了 1000多人的销售队伍。在省外，隆回金银花已在20多个城市建立了销售网络网点。隆回县原紫阳地区是全国重要的龙牙百合集散地，周边一些县市甚至贵州、广西、四川、重庆、湖北、江西、云南等省份生产的百合都是先流入隆回，再转销北上广等大城市及东南亚等世界各地。线上开拓了天猫、京东等平台电商销售渠道和大润发等商超渠道及盒马鲜生新零售渠道，逐步建立了国内一、二线城市社群销售网络渠道。2022年隆回金银花与龙牙百合都达到了历史新高，金银花价格达到了240元/公斤。龙牙百合干货统货达到了60元/斤。2022年我县中药材出口额超过800万美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存在的</w:t>
      </w:r>
      <w:r>
        <w:rPr>
          <w:rFonts w:hint="eastAsia" w:ascii="黑体" w:hAnsi="黑体" w:eastAsia="黑体" w:cs="黑体"/>
          <w:sz w:val="32"/>
          <w:szCs w:val="32"/>
        </w:rPr>
        <w:t>困难与问题</w:t>
      </w:r>
    </w:p>
    <w:p>
      <w:pPr>
        <w:pStyle w:val="2"/>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方正仿宋_GB2312" w:hAnsi="方正仿宋_GB2312" w:eastAsia="方正仿宋_GB2312" w:cs="方正仿宋_GB2312"/>
          <w:b w:val="0"/>
          <w:bCs/>
          <w:sz w:val="32"/>
          <w:szCs w:val="32"/>
          <w:lang w:val="en-US" w:eastAsia="zh-CN"/>
        </w:rPr>
      </w:pPr>
      <w:r>
        <w:rPr>
          <w:rFonts w:hint="eastAsia" w:ascii="方正楷体_GBK" w:hAnsi="方正楷体_GBK" w:eastAsia="方正楷体_GBK" w:cs="方正楷体_GBK"/>
          <w:b/>
          <w:bCs/>
          <w:kern w:val="2"/>
          <w:sz w:val="32"/>
          <w:szCs w:val="32"/>
          <w:lang w:val="en-US" w:eastAsia="zh-CN" w:bidi="ar-SA"/>
        </w:rPr>
        <w:t>（一）产业发展用地政策支撑不足。</w:t>
      </w:r>
      <w:r>
        <w:rPr>
          <w:rFonts w:hint="eastAsia" w:ascii="方正仿宋_GB2312" w:hAnsi="方正仿宋_GB2312" w:eastAsia="方正仿宋_GB2312" w:cs="方正仿宋_GB2312"/>
          <w:b w:val="0"/>
          <w:bCs/>
          <w:sz w:val="32"/>
          <w:szCs w:val="32"/>
          <w:lang w:val="en-US" w:eastAsia="zh-CN"/>
        </w:rPr>
        <w:t>现有乡村振兴战鼓是擂得响，但对乡村产业发展真正需要的许可限得死，耕地红线（粮食安全），环保红线（林地安全），乡村产业发展一动就触高压线。没有用地支撑，产业发展就只能是“镜中花”“水中月”，中药材产业发展亦是如此。金银花主产区因土壤障碍，旧地连年栽苗难见树，种植基地建设一地难寻，金银花产业逐年萎缩是必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K" w:hAnsi="方正楷体_GBK" w:eastAsia="方正楷体_GBK" w:cs="方正楷体_GBK"/>
          <w:b/>
          <w:bCs/>
          <w:sz w:val="32"/>
          <w:szCs w:val="32"/>
          <w:lang w:val="en-US" w:eastAsia="zh-CN"/>
        </w:rPr>
        <w:t>（二）良种选育工作落后。</w:t>
      </w:r>
      <w:r>
        <w:rPr>
          <w:rFonts w:hint="eastAsia" w:ascii="方正仿宋_GB2312" w:hAnsi="方正仿宋_GB2312" w:eastAsia="方正仿宋_GB2312" w:cs="方正仿宋_GB2312"/>
          <w:b w:val="0"/>
          <w:bCs w:val="0"/>
          <w:sz w:val="32"/>
          <w:szCs w:val="32"/>
          <w:lang w:val="en-US" w:eastAsia="zh-CN"/>
        </w:rPr>
        <w:t>种质资源优良特性逐步退化，现有金银花品种呈现出抗病虫害能力下降、品质衰退、植株老化、产量降低的趋势。龙牙百合现在采用鳞片育种，育种效率低、周期长，多年的繁育也造成种质资源的品质退化，如抗虫、抗病能力下降。目前隆回中药材的种子种苗产业发展尚处于培育期，人工制种、育苗面积虽然有一定规模，但没有统一的生产技术规程。中药材种子、种苗交易以个体农户为主，没有固定的经营主体，企业的生产经营、质量控制、管理体系等还比较落后，尤其是中药材种业发展的关键环节“良种选育”工作落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K" w:hAnsi="方正楷体_GBK" w:eastAsia="方正楷体_GBK" w:cs="方正楷体_GBK"/>
          <w:b/>
          <w:bCs/>
          <w:sz w:val="32"/>
          <w:szCs w:val="32"/>
          <w:lang w:val="en-US" w:eastAsia="zh-CN"/>
        </w:rPr>
        <w:t>（三）种植环节面临的一些顽疾。</w:t>
      </w:r>
      <w:r>
        <w:rPr>
          <w:rFonts w:hint="eastAsia" w:ascii="方正仿宋_GB2312" w:hAnsi="方正仿宋_GB2312" w:eastAsia="方正仿宋_GB2312" w:cs="方正仿宋_GB2312"/>
          <w:b w:val="0"/>
          <w:bCs w:val="0"/>
          <w:sz w:val="32"/>
          <w:szCs w:val="32"/>
          <w:lang w:val="en-US" w:eastAsia="zh-CN"/>
        </w:rPr>
        <w:t>金银花、龙牙百合在隆回具有悠久的种植历史，种植技术得到了传承，出现了一大批种植能手，但在种植过程中缺乏生态、绿色种植的概念。在基地选择方面缺乏规划和土壤分析，加之农药选择不规范，农药配置完全凭经验，造成产品</w:t>
      </w:r>
      <w:r>
        <w:rPr>
          <w:rFonts w:hint="eastAsia" w:ascii="方正仿宋_GB2312" w:hAnsi="方正仿宋_GB2312" w:eastAsia="方正仿宋_GB2312" w:cs="方正仿宋_GB2312"/>
          <w:b/>
          <w:bCs/>
          <w:sz w:val="32"/>
          <w:szCs w:val="32"/>
          <w:lang w:val="en-US" w:eastAsia="zh-CN"/>
        </w:rPr>
        <w:t>重金属镉超标</w:t>
      </w:r>
      <w:r>
        <w:rPr>
          <w:rFonts w:hint="eastAsia" w:ascii="方正仿宋_GB2312" w:hAnsi="方正仿宋_GB2312" w:eastAsia="方正仿宋_GB2312" w:cs="方正仿宋_GB2312"/>
          <w:b w:val="0"/>
          <w:bCs w:val="0"/>
          <w:sz w:val="32"/>
          <w:szCs w:val="32"/>
          <w:lang w:val="en-US" w:eastAsia="zh-CN"/>
        </w:rPr>
        <w:t>。金银花种植中，土壤长期种植单一品种且不施用有机肥，使用化肥造成</w:t>
      </w:r>
      <w:r>
        <w:rPr>
          <w:rFonts w:hint="eastAsia" w:ascii="方正仿宋_GB2312" w:hAnsi="方正仿宋_GB2312" w:eastAsia="方正仿宋_GB2312" w:cs="方正仿宋_GB2312"/>
          <w:b/>
          <w:bCs/>
          <w:sz w:val="32"/>
          <w:szCs w:val="32"/>
          <w:lang w:val="en-US" w:eastAsia="zh-CN"/>
        </w:rPr>
        <w:t>土壤板结、酸化</w:t>
      </w:r>
      <w:r>
        <w:rPr>
          <w:rFonts w:hint="eastAsia" w:ascii="方正仿宋_GB2312" w:hAnsi="方正仿宋_GB2312" w:eastAsia="方正仿宋_GB2312" w:cs="方正仿宋_GB2312"/>
          <w:b w:val="0"/>
          <w:bCs w:val="0"/>
          <w:sz w:val="32"/>
          <w:szCs w:val="32"/>
          <w:lang w:val="en-US" w:eastAsia="zh-CN"/>
        </w:rPr>
        <w:t>，甚至出现成年树死亡现象。龙牙百合存在连作障碍，种一年后必须改换新地，每年不断换地种植导致租地成本和农业投入成本过高。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K" w:hAnsi="方正楷体_GBK" w:eastAsia="方正楷体_GBK" w:cs="方正楷体_GBK"/>
          <w:b/>
          <w:bCs/>
          <w:sz w:val="32"/>
          <w:szCs w:val="32"/>
          <w:lang w:val="en-US" w:eastAsia="zh-CN"/>
        </w:rPr>
        <w:t>（四）中药材深加工滞后，产业链条延伸不够。</w:t>
      </w:r>
      <w:r>
        <w:rPr>
          <w:rFonts w:hint="eastAsia" w:ascii="方正仿宋_GB2312" w:hAnsi="方正仿宋_GB2312" w:eastAsia="方正仿宋_GB2312" w:cs="方正仿宋_GB2312"/>
          <w:b w:val="0"/>
          <w:bCs w:val="0"/>
          <w:sz w:val="32"/>
          <w:szCs w:val="32"/>
          <w:lang w:val="en-US" w:eastAsia="zh-CN"/>
        </w:rPr>
        <w:t>隆回中药材产业缺乏科技支撑开发精深加工产品，全县金银花、龙牙百合主要以产地初加工为主，贸易以原药材交易为主，产业大而不强。目前精深加工还处于初级阶段，金银花深加工企业还不多，湖南盛世丰花生物科技有限公司开发的金银花益生菌、金银花牙膏、金银花兽药饲料添加剂等系列产品，尚处起步阶段，有待进一步开发。隆回百合加工企业较弱小，龙头企业带动作用不强，主要以加工干片为主，深加工产品百合粉、百合面等同质化严重，创新能力不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（五）南北金银花分列，严重制约我县金银花产业发展。</w:t>
      </w:r>
      <w:r>
        <w:rPr>
          <w:rFonts w:hint="eastAsia" w:ascii="方正仿宋_GB2312" w:hAnsi="方正仿宋_GB2312" w:eastAsia="方正仿宋_GB2312" w:cs="方正仿宋_GB2312"/>
          <w:sz w:val="32"/>
          <w:szCs w:val="32"/>
          <w:lang w:val="en-US" w:eastAsia="zh-CN"/>
        </w:rPr>
        <w:t>我县金银花种植品种为灰毡毛忍冬。《中国药典》1977-2000等5版药典都仅有“金银花”一个统称，包括灰毡毛忍冬在内的多个忍冬科其他品种都做为金银花通用。至2005年药典改版，“金银花”与“山银花”分列，灰毡毛忍冬被列入“山银花”项下，沿用至今。药典中山银花与金银花性味、归经、功能与主治、用法与用量等描述完全一致。然中国药典将两花分列，造成隆回金银花产业政策性劫难，再加上北方金银花主产区对南方金银花毁谤攻击，指山银花上火、山银花代替金银花生产的产品即为假劣品，制造种种不利南方金银花产业发展的市场环境。武陵山片区涉及的湖南、湖北、重庆、贵州4省市及广东、广西等我国南方广大地区山银花主产区均受波及，花农损失惨重。隆回县委县政府经过多方努力争取到国家食药监总局2014年出台的559号文件，文件规定允许原来使用山银花生产的厂家更改药方，药典委备案后，可继续使用山银花。但是处方备案率不到20%（全国以金银花之名入药的处方共486个，仅79个处方进行了山银花备案）。隆回金银花是药食两用的农产品，食品企业对以山银花之名作为商品名接受程度低。兽药处方并未将山银花列入畜牧饲料添加剂植物名单，畜牧方面对山银花列入饲料添加剂植物名单和出台金银花与山银花在兽药处方中通用的法规有强烈需求。</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（六）药典中对百合浸出物含量设置过高</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隆回</w:t>
      </w:r>
      <w:r>
        <w:rPr>
          <w:rFonts w:hint="eastAsia" w:ascii="方正仿宋_GB2312" w:hAnsi="方正仿宋_GB2312" w:eastAsia="方正仿宋_GB2312" w:cs="方正仿宋_GB2312"/>
          <w:sz w:val="32"/>
          <w:szCs w:val="32"/>
          <w:lang w:eastAsia="zh-CN"/>
        </w:rPr>
        <w:t>龙牙百合为</w:t>
      </w:r>
      <w:r>
        <w:rPr>
          <w:rFonts w:hint="eastAsia" w:ascii="方正仿宋_GB2312" w:hAnsi="方正仿宋_GB2312" w:eastAsia="方正仿宋_GB2312" w:cs="方正仿宋_GB2312"/>
          <w:sz w:val="32"/>
          <w:szCs w:val="32"/>
          <w:lang w:val="en-US" w:eastAsia="zh-CN"/>
        </w:rPr>
        <w:t>道地</w:t>
      </w:r>
      <w:r>
        <w:rPr>
          <w:rFonts w:hint="eastAsia" w:ascii="方正仿宋_GB2312" w:hAnsi="方正仿宋_GB2312" w:eastAsia="方正仿宋_GB2312" w:cs="方正仿宋_GB2312"/>
          <w:sz w:val="32"/>
          <w:szCs w:val="32"/>
          <w:lang w:eastAsia="zh-CN"/>
        </w:rPr>
        <w:t>药材，</w:t>
      </w:r>
      <w:r>
        <w:rPr>
          <w:rFonts w:hint="eastAsia" w:ascii="方正仿宋_GB2312" w:hAnsi="方正仿宋_GB2312" w:eastAsia="方正仿宋_GB2312" w:cs="方正仿宋_GB2312"/>
          <w:sz w:val="32"/>
          <w:szCs w:val="32"/>
          <w:lang w:val="en-US" w:eastAsia="zh-CN"/>
        </w:rPr>
        <w:t>因其片大肉厚综合营养成分含量丰富，深受消费者和以同仁堂为代表的众多饮片药企的欢迎</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在药典中收录为“百合Lilium brownii F.E.Brown var. viridulum Baker”</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药典中要求百合浸出物含量不得少于18%，而龙牙百合浸出物均含量仅15-16%，很难达标，严重影响龙牙百合进入制药企业做饮片用。药典中药材“百合”还有一个来源为“卷丹Lilium lancifolium Thunb.”，其浸出物均含量可达18-20，可见药典在给百合制订属性参数时仅考虑了“卷丹”的性状，没有综合考量其他百合来源品种的性状。故请求在下一版药典中对“百合”浸出物含量参数给予修正。</w:t>
      </w:r>
    </w:p>
    <w:p>
      <w:pPr>
        <w:keepNext w:val="0"/>
        <w:keepLines w:val="0"/>
        <w:pageBreakBefore w:val="0"/>
        <w:numPr>
          <w:numId w:val="0"/>
        </w:numPr>
        <w:kinsoku/>
        <w:wordWrap/>
        <w:overflowPunct/>
        <w:topLinePunct w:val="0"/>
        <w:autoSpaceDE/>
        <w:autoSpaceDN/>
        <w:bidi w:val="0"/>
        <w:spacing w:line="560" w:lineRule="exact"/>
        <w:ind w:left="630" w:leftChars="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四、工作请求</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K" w:hAnsi="方正楷体_GBK" w:eastAsia="方正楷体_GBK" w:cs="方正楷体_GBK"/>
          <w:b/>
          <w:bCs/>
          <w:sz w:val="32"/>
          <w:szCs w:val="32"/>
          <w:lang w:val="en-US" w:eastAsia="zh-CN"/>
        </w:rPr>
        <w:t>一是破解中药材发展用地难题。</w:t>
      </w:r>
      <w:r>
        <w:rPr>
          <w:rFonts w:hint="eastAsia" w:ascii="方正仿宋_GB2312" w:hAnsi="方正仿宋_GB2312" w:eastAsia="方正仿宋_GB2312" w:cs="方正仿宋_GB2312"/>
          <w:b w:val="0"/>
          <w:bCs w:val="0"/>
          <w:sz w:val="32"/>
          <w:szCs w:val="32"/>
          <w:lang w:val="en-US" w:eastAsia="zh-CN"/>
        </w:rPr>
        <w:t>开展专项调研，因地制宜，科学论证，争取国家产业政策支持，破解中药材产业发展用地难题。</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K" w:hAnsi="方正楷体_GBK" w:eastAsia="方正楷体_GBK" w:cs="方正楷体_GBK"/>
          <w:b/>
          <w:bCs/>
          <w:sz w:val="32"/>
          <w:szCs w:val="32"/>
          <w:lang w:val="en-US" w:eastAsia="zh-CN"/>
        </w:rPr>
        <w:t>二是破解重金污染、连作土壤障碍难题。</w:t>
      </w:r>
      <w:r>
        <w:rPr>
          <w:rFonts w:hint="eastAsia" w:ascii="方正仿宋_GB2312" w:hAnsi="方正仿宋_GB2312" w:eastAsia="方正仿宋_GB2312" w:cs="方正仿宋_GB2312"/>
          <w:b w:val="0"/>
          <w:bCs w:val="0"/>
          <w:sz w:val="32"/>
          <w:szCs w:val="32"/>
          <w:lang w:val="en-US" w:eastAsia="zh-CN"/>
        </w:rPr>
        <w:t>针对金银花、</w:t>
      </w:r>
      <w:r>
        <w:rPr>
          <w:rFonts w:hint="eastAsia" w:ascii="方正仿宋_GB2312" w:hAnsi="方正仿宋_GB2312" w:eastAsia="方正仿宋_GB2312" w:cs="方正仿宋_GB2312"/>
          <w:b w:val="0"/>
          <w:bCs w:val="0"/>
          <w:sz w:val="32"/>
          <w:szCs w:val="32"/>
          <w:lang w:val="en-US" w:eastAsia="zh-CN"/>
        </w:rPr>
        <w:t>龙牙百合、玉竹传统主产区生产的普遍存在连作土壤障</w:t>
      </w:r>
      <w:r>
        <w:rPr>
          <w:rFonts w:hint="eastAsia" w:ascii="方正仿宋_GB2312" w:hAnsi="方正仿宋_GB2312" w:eastAsia="方正仿宋_GB2312" w:cs="方正仿宋_GB2312"/>
          <w:b w:val="0"/>
          <w:bCs w:val="0"/>
          <w:sz w:val="32"/>
          <w:szCs w:val="32"/>
          <w:lang w:val="en-US" w:eastAsia="zh-CN"/>
        </w:rPr>
        <w:t>碍、重金污染等问题展开科技攻关，集成中药材统筹轮作、土壤重金属降解、病虫害绿色防控新技术。</w:t>
      </w:r>
    </w:p>
    <w:p>
      <w:pPr>
        <w:keepNext w:val="0"/>
        <w:keepLines w:val="0"/>
        <w:pageBreakBefore w:val="0"/>
        <w:numPr>
          <w:ilvl w:val="0"/>
          <w:numId w:val="0"/>
        </w:numPr>
        <w:kinsoku/>
        <w:wordWrap/>
        <w:overflowPunct/>
        <w:topLinePunct w:val="0"/>
        <w:autoSpaceDE/>
        <w:autoSpaceDN/>
        <w:bidi w:val="0"/>
        <w:spacing w:line="560" w:lineRule="exact"/>
        <w:ind w:firstLine="642"/>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K" w:hAnsi="方正楷体_GBK" w:eastAsia="方正楷体_GBK" w:cs="方正楷体_GBK"/>
          <w:b/>
          <w:bCs/>
          <w:sz w:val="32"/>
          <w:szCs w:val="32"/>
          <w:lang w:val="en-US" w:eastAsia="zh-CN"/>
        </w:rPr>
        <w:t>三是中药材优良品种选育。</w:t>
      </w:r>
      <w:r>
        <w:rPr>
          <w:rFonts w:hint="eastAsia" w:ascii="方正仿宋_GB2312" w:hAnsi="方正仿宋_GB2312" w:eastAsia="方正仿宋_GB2312" w:cs="方正仿宋_GB2312"/>
          <w:b w:val="0"/>
          <w:bCs w:val="0"/>
          <w:sz w:val="32"/>
          <w:szCs w:val="32"/>
          <w:lang w:val="en-US" w:eastAsia="zh-CN"/>
        </w:rPr>
        <w:t>以金银花、龙牙百合为重点，开展中药材优良品种选育，培育高产、优质、抗病中药材栽培品种。</w:t>
      </w:r>
    </w:p>
    <w:p>
      <w:pPr>
        <w:keepNext w:val="0"/>
        <w:keepLines w:val="0"/>
        <w:pageBreakBefore w:val="0"/>
        <w:numPr>
          <w:ilvl w:val="0"/>
          <w:numId w:val="0"/>
        </w:numPr>
        <w:kinsoku/>
        <w:wordWrap/>
        <w:overflowPunct/>
        <w:topLinePunct w:val="0"/>
        <w:autoSpaceDE/>
        <w:autoSpaceDN/>
        <w:bidi w:val="0"/>
        <w:spacing w:line="560" w:lineRule="exact"/>
        <w:ind w:firstLine="642"/>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lang w:val="en-US" w:eastAsia="zh-CN"/>
        </w:rPr>
        <w:t>四是中药材精深加工产品研发。</w:t>
      </w:r>
      <w:r>
        <w:rPr>
          <w:rFonts w:hint="eastAsia" w:ascii="方正仿宋_GB2312" w:hAnsi="方正仿宋_GB2312" w:eastAsia="方正仿宋_GB2312" w:cs="方正仿宋_GB2312"/>
          <w:sz w:val="32"/>
          <w:szCs w:val="32"/>
          <w:lang w:eastAsia="zh-CN"/>
        </w:rPr>
        <w:t>以金银花、龙牙百合、玉竹为重点，集中发力，研发中药材精深加工产品，挖掘产品高附加价值</w:t>
      </w:r>
      <w:r>
        <w:rPr>
          <w:rFonts w:hint="eastAsia" w:ascii="方正仿宋_GB2312" w:hAnsi="方正仿宋_GB2312" w:eastAsia="方正仿宋_GB2312" w:cs="方正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方正楷体_GBK" w:hAnsi="方正楷体_GBK" w:eastAsia="方正楷体_GBK" w:cs="方正楷体_GBK"/>
          <w:b/>
          <w:bCs/>
          <w:kern w:val="2"/>
          <w:sz w:val="32"/>
          <w:szCs w:val="32"/>
          <w:lang w:val="en-US" w:eastAsia="zh-CN" w:bidi="ar-SA"/>
        </w:rPr>
        <w:t>五是修改药典中相关描述。</w:t>
      </w:r>
      <w:r>
        <w:rPr>
          <w:rFonts w:hint="eastAsia" w:ascii="方正仿宋_GB2312" w:hAnsi="方正仿宋_GB2312" w:eastAsia="方正仿宋_GB2312" w:cs="方正仿宋_GB2312"/>
          <w:b w:val="0"/>
          <w:bCs w:val="0"/>
          <w:kern w:val="2"/>
          <w:sz w:val="32"/>
          <w:szCs w:val="32"/>
          <w:lang w:val="en-US" w:eastAsia="zh-CN" w:bidi="ar-SA"/>
        </w:rPr>
        <w:t>药典中对百合浸出物含量设置过高，请求在下一版药典中对“百合”浸出物含量参数给予修正。在药典中</w:t>
      </w:r>
      <w:r>
        <w:rPr>
          <w:rFonts w:hint="eastAsia" w:ascii="方正仿宋_GB2312" w:hAnsi="方正仿宋_GB2312" w:eastAsia="方正仿宋_GB2312" w:cs="方正仿宋_GB2312"/>
          <w:b w:val="0"/>
          <w:bCs w:val="0"/>
          <w:kern w:val="2"/>
          <w:sz w:val="32"/>
          <w:szCs w:val="32"/>
          <w:lang w:val="en-US" w:eastAsia="zh-CN" w:bidi="ar-SA"/>
        </w:rPr>
        <w:t>不再分列</w:t>
      </w:r>
      <w:r>
        <w:rPr>
          <w:rFonts w:hint="eastAsia" w:ascii="方正仿宋_GB2312" w:hAnsi="方正仿宋_GB2312" w:eastAsia="方正仿宋_GB2312" w:cs="方正仿宋_GB2312"/>
          <w:sz w:val="32"/>
          <w:szCs w:val="32"/>
          <w:lang w:val="en-US" w:eastAsia="zh-CN"/>
        </w:rPr>
        <w:t>“金银花”与“山银花”</w:t>
      </w:r>
      <w:bookmarkStart w:id="0" w:name="_GoBack"/>
      <w:bookmarkEnd w:id="0"/>
      <w:r>
        <w:rPr>
          <w:rFonts w:hint="eastAsia" w:ascii="方正仿宋_GB2312" w:hAnsi="方正仿宋_GB2312" w:eastAsia="方正仿宋_GB2312" w:cs="方正仿宋_GB2312"/>
          <w:b w:val="0"/>
          <w:bCs w:val="0"/>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楷体_GBK" w:hAnsi="方正楷体_GBK" w:eastAsia="方正楷体_GBK" w:cs="方正楷体_GBK"/>
          <w:b/>
          <w:bCs/>
          <w:sz w:val="32"/>
          <w:szCs w:val="32"/>
          <w:lang w:val="en-US" w:eastAsia="zh-CN"/>
        </w:rPr>
        <w:t>六是建设隆回县药用植物园。</w:t>
      </w:r>
      <w:r>
        <w:rPr>
          <w:rFonts w:hint="eastAsia" w:ascii="方正仿宋_GB2312" w:hAnsi="方正仿宋_GB2312" w:eastAsia="方正仿宋_GB2312" w:cs="方正仿宋_GB2312"/>
          <w:sz w:val="32"/>
          <w:szCs w:val="32"/>
          <w:lang w:val="en-US" w:eastAsia="zh-CN"/>
        </w:rPr>
        <w:t>建设药用植物园，在园内集齐县内现有发现的所有中药材植物品种的同时，力争收集全国内所有药用金银花植物品种和药用百合植物品种，以园为媒，促推药旅融合发展。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F5E36-3C74-492A-9FE8-31951B76E9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embedRegular r:id="rId2" w:fontKey="{D2BAE9D4-092D-4DA2-9A6F-673EE4A27A5E}"/>
  </w:font>
  <w:font w:name="仿宋">
    <w:panose1 w:val="02010609060101010101"/>
    <w:charset w:val="86"/>
    <w:family w:val="modern"/>
    <w:pitch w:val="default"/>
    <w:sig w:usb0="800002BF" w:usb1="38CF7CFA" w:usb2="00000016" w:usb3="00000000" w:csb0="00040001" w:csb1="00000000"/>
    <w:embedRegular r:id="rId3" w:fontKey="{5F9B37C5-116E-4AE7-B5CE-7DBEEE486D2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13D6A3BE-8ACD-4F5E-B3F9-266DE34EBFB0}"/>
  </w:font>
  <w:font w:name="仿宋_GB2312">
    <w:altName w:val="仿宋"/>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5" w:fontKey="{0F28082E-27A2-41D8-8227-56DCD3FFF5D0}"/>
  </w:font>
  <w:font w:name="方正仿宋_GB2312">
    <w:panose1 w:val="02000000000000000000"/>
    <w:charset w:val="86"/>
    <w:family w:val="auto"/>
    <w:pitch w:val="default"/>
    <w:sig w:usb0="A00002BF" w:usb1="184F6CFA" w:usb2="00000012" w:usb3="00000000" w:csb0="00040001" w:csb1="00000000"/>
    <w:embedRegular r:id="rId6" w:fontKey="{42AB9048-4742-4829-A3AA-C1C2849BE23B}"/>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NTQxY2ZkYjNlMmY1YzNmZTc3YjlhYjEyMTAxZWUifQ=="/>
  </w:docVars>
  <w:rsids>
    <w:rsidRoot w:val="00457151"/>
    <w:rsid w:val="00457151"/>
    <w:rsid w:val="004F1C31"/>
    <w:rsid w:val="005C469C"/>
    <w:rsid w:val="028C0137"/>
    <w:rsid w:val="0343413C"/>
    <w:rsid w:val="077227F5"/>
    <w:rsid w:val="08260437"/>
    <w:rsid w:val="0AD82C44"/>
    <w:rsid w:val="0BCD25D8"/>
    <w:rsid w:val="0CA06937"/>
    <w:rsid w:val="0CBA65BA"/>
    <w:rsid w:val="0CF55626"/>
    <w:rsid w:val="0D150EFF"/>
    <w:rsid w:val="0EC71F0D"/>
    <w:rsid w:val="10BE7973"/>
    <w:rsid w:val="16994907"/>
    <w:rsid w:val="1AD02149"/>
    <w:rsid w:val="1B092F0E"/>
    <w:rsid w:val="1C2B211C"/>
    <w:rsid w:val="1CA90EA4"/>
    <w:rsid w:val="1CA9376E"/>
    <w:rsid w:val="1D6D1ED1"/>
    <w:rsid w:val="1D9F5E03"/>
    <w:rsid w:val="1EB578C7"/>
    <w:rsid w:val="1F5B7A1B"/>
    <w:rsid w:val="1F8C0F53"/>
    <w:rsid w:val="200B51CB"/>
    <w:rsid w:val="2099461F"/>
    <w:rsid w:val="214B5D57"/>
    <w:rsid w:val="217E3D14"/>
    <w:rsid w:val="22235E21"/>
    <w:rsid w:val="24133AA7"/>
    <w:rsid w:val="24942E99"/>
    <w:rsid w:val="2624798A"/>
    <w:rsid w:val="27707C4F"/>
    <w:rsid w:val="29B6075C"/>
    <w:rsid w:val="2B4D019C"/>
    <w:rsid w:val="2CD22BB5"/>
    <w:rsid w:val="2D2D19CD"/>
    <w:rsid w:val="2DD22726"/>
    <w:rsid w:val="2E026666"/>
    <w:rsid w:val="366B3824"/>
    <w:rsid w:val="39304874"/>
    <w:rsid w:val="3F6C0E30"/>
    <w:rsid w:val="3FF53277"/>
    <w:rsid w:val="42015D5E"/>
    <w:rsid w:val="44901E7E"/>
    <w:rsid w:val="44B90FD0"/>
    <w:rsid w:val="457B0D80"/>
    <w:rsid w:val="463A5BE7"/>
    <w:rsid w:val="46730044"/>
    <w:rsid w:val="46DA3BE9"/>
    <w:rsid w:val="474006A1"/>
    <w:rsid w:val="47DF1BB1"/>
    <w:rsid w:val="49316F70"/>
    <w:rsid w:val="4A7C07A7"/>
    <w:rsid w:val="4B3C2ACB"/>
    <w:rsid w:val="4C1313D2"/>
    <w:rsid w:val="4DBD55EE"/>
    <w:rsid w:val="4FFD208D"/>
    <w:rsid w:val="50D37865"/>
    <w:rsid w:val="516843E7"/>
    <w:rsid w:val="516B387C"/>
    <w:rsid w:val="51D81308"/>
    <w:rsid w:val="529C18C4"/>
    <w:rsid w:val="54751090"/>
    <w:rsid w:val="55AD100C"/>
    <w:rsid w:val="56277BD5"/>
    <w:rsid w:val="58132748"/>
    <w:rsid w:val="58D8399B"/>
    <w:rsid w:val="598E583F"/>
    <w:rsid w:val="59981AA8"/>
    <w:rsid w:val="59C7742C"/>
    <w:rsid w:val="5AA1673B"/>
    <w:rsid w:val="5BD2403C"/>
    <w:rsid w:val="5C932A98"/>
    <w:rsid w:val="618644D3"/>
    <w:rsid w:val="6214616A"/>
    <w:rsid w:val="65B55790"/>
    <w:rsid w:val="66DF198B"/>
    <w:rsid w:val="66FE6CC3"/>
    <w:rsid w:val="6860760C"/>
    <w:rsid w:val="687900C1"/>
    <w:rsid w:val="687E5B8B"/>
    <w:rsid w:val="6CE51E7C"/>
    <w:rsid w:val="6D69538D"/>
    <w:rsid w:val="6D9818D9"/>
    <w:rsid w:val="6F4A000F"/>
    <w:rsid w:val="70AE562D"/>
    <w:rsid w:val="711517EF"/>
    <w:rsid w:val="71FD4747"/>
    <w:rsid w:val="732E6B82"/>
    <w:rsid w:val="74930B96"/>
    <w:rsid w:val="74984028"/>
    <w:rsid w:val="76556B12"/>
    <w:rsid w:val="778F33C4"/>
    <w:rsid w:val="788F00C3"/>
    <w:rsid w:val="79D447C4"/>
    <w:rsid w:val="7B676C5D"/>
    <w:rsid w:val="7BD60A41"/>
    <w:rsid w:val="7D5A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可研正文"/>
    <w:basedOn w:val="1"/>
    <w:qFormat/>
    <w:uiPriority w:val="0"/>
    <w:pPr>
      <w:spacing w:line="360" w:lineRule="auto"/>
      <w:ind w:firstLine="480" w:firstLineChars="200"/>
    </w:pPr>
    <w:rPr>
      <w:sz w:val="24"/>
      <w:szCs w:val="52"/>
    </w:rPr>
  </w:style>
  <w:style w:type="paragraph" w:styleId="3">
    <w:name w:val="annotation text"/>
    <w:basedOn w:val="1"/>
    <w:qFormat/>
    <w:uiPriority w:val="0"/>
    <w:pPr>
      <w:jc w:val="left"/>
    </w:pPr>
  </w:style>
  <w:style w:type="paragraph" w:styleId="4">
    <w:name w:val="Body Text"/>
    <w:basedOn w:val="1"/>
    <w:next w:val="1"/>
    <w:qFormat/>
    <w:uiPriority w:val="1"/>
    <w:pPr>
      <w:spacing w:before="214"/>
      <w:ind w:left="120"/>
    </w:pPr>
    <w:rPr>
      <w:sz w:val="32"/>
      <w:szCs w:val="32"/>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w:basedOn w:val="4"/>
    <w:qFormat/>
    <w:uiPriority w:val="0"/>
    <w:pPr>
      <w:ind w:firstLine="420" w:firstLineChars="100"/>
    </w:pPr>
  </w:style>
  <w:style w:type="character" w:styleId="9">
    <w:name w:val="Strong"/>
    <w:basedOn w:val="8"/>
    <w:qFormat/>
    <w:uiPriority w:val="0"/>
    <w:rPr>
      <w:b/>
      <w:bCs/>
    </w:rPr>
  </w:style>
  <w:style w:type="paragraph" w:customStyle="1" w:styleId="10">
    <w:name w:val="列出段落1"/>
    <w:basedOn w:val="1"/>
    <w:qFormat/>
    <w:uiPriority w:val="1"/>
    <w:pPr>
      <w:spacing w:before="214"/>
      <w:ind w:left="120" w:firstLine="640"/>
    </w:pPr>
  </w:style>
  <w:style w:type="paragraph" w:customStyle="1" w:styleId="11">
    <w:name w:val="List Paragraph"/>
    <w:basedOn w:val="1"/>
    <w:qFormat/>
    <w:uiPriority w:val="1"/>
    <w:pPr>
      <w:spacing w:before="214"/>
      <w:ind w:left="120" w:firstLine="6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3559</Words>
  <Characters>3704</Characters>
  <Lines>30</Lines>
  <Paragraphs>8</Paragraphs>
  <TotalTime>0</TotalTime>
  <ScaleCrop>false</ScaleCrop>
  <LinksUpToDate>false</LinksUpToDate>
  <CharactersWithSpaces>3722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2023-04-18T00:08:00Z</dcterms:created>
  <dc:creator>21291</dc:creator>
  <cp:lastModifiedBy>小糍粑</cp:lastModifiedBy>
  <dcterms:modified xsi:type="dcterms:W3CDTF">2023-06-03T07:55:57Z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2B490683FE3B40B7817F7CB97463C787_13</vt:lpwstr>
  </property>
</Properties>
</file>