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u w:val="none"/>
          <w:bdr w:val="none" w:color="auto" w:sz="0" w:space="0"/>
          <w:shd w:val="clear" w:fill="FFFFFF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76"/>
        <w:jc w:val="both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          自治区企业技术中心定量评价自评表</w:t>
      </w:r>
    </w:p>
    <w:tbl>
      <w:tblPr>
        <w:tblW w:w="12182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47"/>
        <w:gridCol w:w="1099"/>
        <w:gridCol w:w="3436"/>
        <w:gridCol w:w="1047"/>
        <w:gridCol w:w="1099"/>
        <w:gridCol w:w="1047"/>
        <w:gridCol w:w="1339"/>
        <w:gridCol w:w="10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一级指标</w:t>
            </w:r>
          </w:p>
        </w:tc>
        <w:tc>
          <w:tcPr>
            <w:tcW w:w="42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二级指标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权重</w:t>
            </w: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三级指标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单位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权重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基本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要求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满分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要求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创新投入</w:t>
            </w:r>
          </w:p>
        </w:tc>
        <w:tc>
          <w:tcPr>
            <w:tcW w:w="42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创新经费</w:t>
            </w:r>
          </w:p>
        </w:tc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研发人员人均研发经费支出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万元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≥2.5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研发经费支出占主营业务收入的比重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%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分档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分档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创新人才</w:t>
            </w:r>
          </w:p>
        </w:tc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研发人员占企业职工总数的比重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%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≥2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技术中心拥有的高级专家和博士人数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人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≥2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来技术中心从事研发工作的外部专家人数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人月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≥10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创新条件</w:t>
            </w:r>
          </w:p>
        </w:tc>
        <w:tc>
          <w:tcPr>
            <w:tcW w:w="42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技术积累</w:t>
            </w:r>
          </w:p>
        </w:tc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企业拥有的全部有效发明专利数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≥2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企业全部研发项目数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≥5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对外合作研发项目占全部研发项目之比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%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≥10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承担的政府部门科技项目数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创新平台</w:t>
            </w:r>
          </w:p>
        </w:tc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企业拥有的研发仪器设备原值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万元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分行业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分行业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拥有的国家、自治区级研发平台数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个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通过国家(国际组织)认证的实验室和检测机构数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个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创新绩效</w:t>
            </w:r>
          </w:p>
        </w:tc>
        <w:tc>
          <w:tcPr>
            <w:tcW w:w="42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技术产出</w:t>
            </w:r>
          </w:p>
        </w:tc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当年被受理的专利申请数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≥2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当年被受理的发明专利申请数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最近三年主持和参加制定的国际、国家、行业、地方和团体标准数(含国家级工法)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分档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分档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创新效益</w:t>
            </w:r>
          </w:p>
        </w:tc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新产品销售收入占主营业务收入的比重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%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≥10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新产品销售利润占利润总额的比重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%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≥5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新产品利润率与企业利润率之比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比值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≥1.1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1.25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企业利润率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%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2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分行业</w:t>
            </w:r>
          </w:p>
        </w:tc>
        <w:tc>
          <w:tcPr>
            <w:tcW w:w="54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分行业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加分</w:t>
            </w:r>
          </w:p>
        </w:tc>
        <w:tc>
          <w:tcPr>
            <w:tcW w:w="42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加分</w:t>
            </w:r>
          </w:p>
        </w:tc>
        <w:tc>
          <w:tcPr>
            <w:tcW w:w="360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企业申请PCT专利数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≤2</w:t>
            </w:r>
          </w:p>
        </w:tc>
        <w:tc>
          <w:tcPr>
            <w:tcW w:w="1236" w:type="dxa"/>
            <w:gridSpan w:val="2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每项+1分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企业获得国家和自治区自然科学、技术发明、科技进步奖等项目数</w:t>
            </w:r>
          </w:p>
        </w:tc>
        <w:tc>
          <w:tcPr>
            <w:tcW w:w="46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项</w:t>
            </w:r>
          </w:p>
        </w:tc>
        <w:tc>
          <w:tcPr>
            <w:tcW w:w="348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≤5</w:t>
            </w:r>
          </w:p>
        </w:tc>
        <w:tc>
          <w:tcPr>
            <w:tcW w:w="1236" w:type="dxa"/>
            <w:gridSpan w:val="2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u w:val="none"/>
                <w:bdr w:val="none" w:color="auto" w:sz="0" w:space="0"/>
              </w:rPr>
              <w:t>分档</w:t>
            </w:r>
          </w:p>
        </w:tc>
        <w:tc>
          <w:tcPr>
            <w:tcW w:w="360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color w:val="auto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u w:val="none"/>
        </w:rPr>
      </w:pPr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A398"/>
    <w:rsid w:val="7CDF8CEB"/>
    <w:rsid w:val="7DDBA398"/>
    <w:rsid w:val="7FD397E6"/>
    <w:rsid w:val="E39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551</Words>
  <Characters>579</Characters>
  <Lines>0</Lines>
  <Paragraphs>0</Paragraphs>
  <TotalTime>8</TotalTime>
  <ScaleCrop>false</ScaleCrop>
  <LinksUpToDate>false</LinksUpToDate>
  <CharactersWithSpaces>579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2025-04-25T10:34:00Z</dcterms:created>
  <dc:creator>qkx</dc:creator>
  <cp:lastModifiedBy>qkx</cp:lastModifiedBy>
  <dcterms:modified xsi:type="dcterms:W3CDTF">2025-04-25T10:45:27Z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