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616"/>
        <w:gridCol w:w="2439"/>
        <w:gridCol w:w="1832"/>
        <w:gridCol w:w="1449"/>
      </w:tblGrid>
      <w:tr w14:paraId="549FC4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4"/>
            <w:tcBorders>
              <w:top w:val="outset" w:color="auto" w:sz="6" w:space="0"/>
              <w:left w:val="outset" w:color="auto" w:sz="6" w:space="0"/>
              <w:bottom w:val="outset" w:color="auto" w:sz="6" w:space="0"/>
              <w:right w:val="outset" w:color="auto" w:sz="6" w:space="0"/>
            </w:tcBorders>
            <w:shd w:val="clear"/>
            <w:vAlign w:val="center"/>
          </w:tcPr>
          <w:p w14:paraId="6DEFF521">
            <w:pPr>
              <w:keepNext w:val="0"/>
              <w:keepLines w:val="0"/>
              <w:widowControl/>
              <w:suppressLineNumbers w:val="0"/>
              <w:jc w:val="left"/>
            </w:pPr>
            <w:r>
              <w:rPr>
                <w:rFonts w:ascii="宋体" w:hAnsi="宋体" w:eastAsia="宋体" w:cs="宋体"/>
                <w:sz w:val="24"/>
                <w:szCs w:val="24"/>
              </w:rPr>
              <w:t>标题：锡林郭勒盟行政公署办公室 关于印发《锡林郭勒盟关于推进优势特色 产业集群建设的指导意见》的通知</w:t>
            </w:r>
          </w:p>
        </w:tc>
      </w:tr>
      <w:tr w14:paraId="22D2A7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52DF9A69">
            <w:pPr>
              <w:keepNext w:val="0"/>
              <w:keepLines w:val="0"/>
              <w:widowControl/>
              <w:suppressLineNumbers w:val="0"/>
              <w:jc w:val="left"/>
            </w:pPr>
            <w:r>
              <w:rPr>
                <w:rFonts w:ascii="宋体" w:hAnsi="宋体" w:eastAsia="宋体" w:cs="宋体"/>
                <w:sz w:val="24"/>
                <w:szCs w:val="24"/>
              </w:rPr>
              <w:t>索引号：11152500011659134E/2025-00001</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189E0375">
            <w:pPr>
              <w:keepNext w:val="0"/>
              <w:keepLines w:val="0"/>
              <w:widowControl/>
              <w:suppressLineNumbers w:val="0"/>
              <w:jc w:val="left"/>
            </w:pPr>
            <w:r>
              <w:rPr>
                <w:rFonts w:ascii="宋体" w:hAnsi="宋体" w:eastAsia="宋体" w:cs="宋体"/>
                <w:sz w:val="24"/>
                <w:szCs w:val="24"/>
              </w:rPr>
              <w:t>发文字号：锡署办发〔2025〕7号</w:t>
            </w:r>
          </w:p>
        </w:tc>
      </w:tr>
      <w:tr w14:paraId="5D462C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70541B6F">
            <w:pPr>
              <w:keepNext w:val="0"/>
              <w:keepLines w:val="0"/>
              <w:widowControl/>
              <w:suppressLineNumbers w:val="0"/>
              <w:jc w:val="left"/>
            </w:pPr>
            <w:r>
              <w:rPr>
                <w:rFonts w:ascii="宋体" w:hAnsi="宋体" w:eastAsia="宋体" w:cs="宋体"/>
                <w:sz w:val="24"/>
                <w:szCs w:val="24"/>
              </w:rPr>
              <w:t>发文机构：锡林郭勒盟行政公署办公室</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571E24C2">
            <w:pPr>
              <w:keepNext w:val="0"/>
              <w:keepLines w:val="0"/>
              <w:widowControl/>
              <w:suppressLineNumbers w:val="0"/>
              <w:jc w:val="left"/>
            </w:pPr>
            <w:r>
              <w:rPr>
                <w:rFonts w:ascii="宋体" w:hAnsi="宋体" w:eastAsia="宋体" w:cs="宋体"/>
                <w:sz w:val="24"/>
                <w:szCs w:val="24"/>
              </w:rPr>
              <w:t>信息分类：工业、交通、信息化</w:t>
            </w:r>
          </w:p>
        </w:tc>
      </w:tr>
      <w:tr w14:paraId="1E887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4"/>
            <w:tcBorders>
              <w:top w:val="outset" w:color="auto" w:sz="6" w:space="0"/>
              <w:left w:val="outset" w:color="auto" w:sz="6" w:space="0"/>
              <w:bottom w:val="outset" w:color="auto" w:sz="6" w:space="0"/>
              <w:right w:val="outset" w:color="auto" w:sz="6" w:space="0"/>
            </w:tcBorders>
            <w:shd w:val="clear"/>
            <w:vAlign w:val="center"/>
          </w:tcPr>
          <w:p w14:paraId="1529C596">
            <w:pPr>
              <w:keepNext w:val="0"/>
              <w:keepLines w:val="0"/>
              <w:widowControl/>
              <w:suppressLineNumbers w:val="0"/>
              <w:jc w:val="left"/>
            </w:pPr>
            <w:r>
              <w:rPr>
                <w:rFonts w:ascii="宋体" w:hAnsi="宋体" w:eastAsia="宋体" w:cs="宋体"/>
                <w:sz w:val="24"/>
                <w:szCs w:val="24"/>
              </w:rPr>
              <w:t>概述：锡林郭勒盟行政公署办公室 关于印发《锡林郭勒盟关于推进优势特色 产业集群建设的指导意见》的通知</w:t>
            </w:r>
          </w:p>
        </w:tc>
      </w:tr>
      <w:tr w14:paraId="2EF040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14:paraId="03FD2F66">
            <w:pPr>
              <w:keepNext w:val="0"/>
              <w:keepLines w:val="0"/>
              <w:widowControl/>
              <w:suppressLineNumbers w:val="0"/>
              <w:jc w:val="left"/>
            </w:pPr>
            <w:r>
              <w:rPr>
                <w:rFonts w:ascii="宋体" w:hAnsi="宋体" w:eastAsia="宋体" w:cs="宋体"/>
                <w:sz w:val="24"/>
                <w:szCs w:val="24"/>
              </w:rPr>
              <w:t>成文日期：2025-01-27</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5025784">
            <w:pPr>
              <w:keepNext w:val="0"/>
              <w:keepLines w:val="0"/>
              <w:widowControl/>
              <w:suppressLineNumbers w:val="0"/>
              <w:jc w:val="left"/>
            </w:pPr>
            <w:r>
              <w:rPr>
                <w:rFonts w:ascii="宋体" w:hAnsi="宋体" w:eastAsia="宋体" w:cs="宋体"/>
                <w:sz w:val="24"/>
                <w:szCs w:val="24"/>
              </w:rPr>
              <w:t>公开日期：2025-01-27</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AEDEADA">
            <w:pPr>
              <w:keepNext w:val="0"/>
              <w:keepLines w:val="0"/>
              <w:widowControl/>
              <w:suppressLineNumbers w:val="0"/>
              <w:jc w:val="left"/>
            </w:pPr>
            <w:r>
              <w:rPr>
                <w:rFonts w:ascii="宋体" w:hAnsi="宋体" w:eastAsia="宋体" w:cs="宋体"/>
                <w:sz w:val="24"/>
                <w:szCs w:val="24"/>
              </w:rPr>
              <w:t>废止日期：———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7649F58">
            <w:pPr>
              <w:keepNext w:val="0"/>
              <w:keepLines w:val="0"/>
              <w:widowControl/>
              <w:suppressLineNumbers w:val="0"/>
              <w:jc w:val="left"/>
            </w:pPr>
            <w:r>
              <w:rPr>
                <w:rFonts w:ascii="宋体" w:hAnsi="宋体" w:eastAsia="宋体" w:cs="宋体"/>
                <w:sz w:val="24"/>
                <w:szCs w:val="24"/>
              </w:rPr>
              <w:t>有 效 性：有效</w:t>
            </w:r>
          </w:p>
        </w:tc>
      </w:tr>
    </w:tbl>
    <w:p w14:paraId="6ACD0C4D">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"javascript:print();" </w:instrText>
      </w:r>
      <w:r>
        <w:rPr>
          <w:rFonts w:ascii="宋体" w:hAnsi="宋体" w:eastAsia="宋体" w:cs="宋体"/>
          <w:vanish/>
          <w:sz w:val="24"/>
          <w:szCs w:val="24"/>
        </w:rPr>
        <w:fldChar w:fldCharType="separate"/>
      </w:r>
      <w:r>
        <w:rPr>
          <w:rStyle w:val="13"/>
          <w:rFonts w:ascii="宋体" w:hAnsi="宋体" w:eastAsia="宋体" w:cs="宋体"/>
          <w:vanish/>
          <w:sz w:val="24"/>
          <w:szCs w:val="24"/>
        </w:rPr>
        <w:t>【打印】</w:t>
      </w:r>
      <w:r>
        <w:rPr>
          <w:rFonts w:ascii="宋体" w:hAnsi="宋体" w:eastAsia="宋体" w:cs="宋体"/>
          <w:vanish/>
          <w:sz w:val="24"/>
          <w:szCs w:val="24"/>
        </w:rPr>
        <w:fldChar w:fldCharType="end"/>
      </w:r>
      <w:r>
        <w:rPr>
          <w:rFonts w:ascii="宋体" w:hAnsi="宋体" w:eastAsia="宋体" w:cs="宋体"/>
          <w:vanish/>
          <w:sz w:val="24"/>
          <w:szCs w:val="24"/>
        </w:rPr>
        <w:t xml:space="preserve"> 【字体：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3"/>
          <w:rFonts w:ascii="宋体" w:hAnsi="宋体" w:eastAsia="宋体" w:cs="宋体"/>
          <w:vanish/>
          <w:sz w:val="24"/>
          <w:szCs w:val="24"/>
        </w:rPr>
        <w:t>大</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3"/>
          <w:rFonts w:ascii="宋体" w:hAnsi="宋体" w:eastAsia="宋体" w:cs="宋体"/>
          <w:vanish/>
          <w:sz w:val="24"/>
          <w:szCs w:val="24"/>
        </w:rPr>
        <w:t>中</w:t>
      </w:r>
      <w:r>
        <w:rPr>
          <w:rFonts w:ascii="宋体" w:hAnsi="宋体" w:eastAsia="宋体" w:cs="宋体"/>
          <w:vanish/>
          <w:sz w:val="24"/>
          <w:szCs w:val="24"/>
        </w:rPr>
        <w:fldChar w:fldCharType="end"/>
      </w:r>
      <w:r>
        <w:rPr>
          <w:rFonts w:ascii="宋体" w:hAnsi="宋体" w:eastAsia="宋体" w:cs="宋体"/>
          <w:vanish/>
          <w:sz w:val="24"/>
          <w:szCs w:val="24"/>
        </w:rPr>
        <w:t xml:space="preserve"> </w:t>
      </w: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"javascript:void(0)" </w:instrText>
      </w:r>
      <w:r>
        <w:rPr>
          <w:rFonts w:ascii="宋体" w:hAnsi="宋体" w:eastAsia="宋体" w:cs="宋体"/>
          <w:vanish/>
          <w:sz w:val="24"/>
          <w:szCs w:val="24"/>
        </w:rPr>
        <w:fldChar w:fldCharType="separate"/>
      </w:r>
      <w:r>
        <w:rPr>
          <w:rStyle w:val="13"/>
          <w:rFonts w:ascii="宋体" w:hAnsi="宋体" w:eastAsia="宋体" w:cs="宋体"/>
          <w:vanish/>
          <w:sz w:val="24"/>
          <w:szCs w:val="24"/>
        </w:rPr>
        <w:t>小</w:t>
      </w:r>
      <w:r>
        <w:rPr>
          <w:rFonts w:ascii="宋体" w:hAnsi="宋体" w:eastAsia="宋体" w:cs="宋体"/>
          <w:vanish/>
          <w:sz w:val="24"/>
          <w:szCs w:val="24"/>
        </w:rPr>
        <w:fldChar w:fldCharType="end"/>
      </w:r>
      <w:r>
        <w:rPr>
          <w:rFonts w:ascii="宋体" w:hAnsi="宋体" w:eastAsia="宋体" w:cs="宋体"/>
          <w:vanish/>
          <w:sz w:val="24"/>
          <w:szCs w:val="24"/>
        </w:rPr>
        <w:t xml:space="preserve">】 浏览次数： 252 </w:t>
      </w:r>
    </w:p>
    <w:p w14:paraId="5F41E74D">
      <w:pPr>
        <w:keepNext w:val="0"/>
        <w:keepLines w:val="0"/>
        <w:widowControl/>
        <w:suppressLineNumbers w:val="0"/>
        <w:jc w:val="left"/>
        <w:rPr>
          <w:vanish/>
        </w:rPr>
      </w:pPr>
      <w:r>
        <w:rPr>
          <w:rStyle w:val="12"/>
          <w:rFonts w:ascii="宋体" w:hAnsi="宋体" w:eastAsia="宋体" w:cs="宋体"/>
          <w:vanish/>
          <w:sz w:val="24"/>
          <w:szCs w:val="24"/>
        </w:rPr>
        <w:t>分享到：</w:t>
      </w:r>
      <w:r>
        <w:rPr>
          <w:rFonts w:ascii="宋体" w:hAnsi="宋体" w:eastAsia="宋体" w:cs="宋体"/>
          <w:vanish/>
          <w:sz w:val="24"/>
          <w:szCs w:val="24"/>
        </w:rPr>
        <w:t xml:space="preserve"> </w:t>
      </w:r>
    </w:p>
    <w:p w14:paraId="39DCF4CF">
      <w:pPr>
        <w:keepNext w:val="0"/>
        <w:keepLines w:val="0"/>
        <w:widowControl/>
        <w:suppressLineNumbers w:val="0"/>
        <w:jc w:val="left"/>
        <w:rPr>
          <w:vanish/>
        </w:rPr>
      </w:pPr>
      <w:r>
        <w:rPr>
          <w:rFonts w:ascii="宋体" w:hAnsi="宋体" w:eastAsia="宋体" w:cs="宋体"/>
          <w:vanish/>
          <w:sz w:val="24"/>
          <w:szCs w:val="24"/>
        </w:rPr>
        <w:fldChar w:fldCharType="begin"/>
      </w:r>
      <w:r>
        <w:rPr>
          <w:rFonts w:ascii="宋体" w:hAnsi="宋体" w:eastAsia="宋体" w:cs="宋体"/>
          <w:vanish/>
          <w:sz w:val="24"/>
          <w:szCs w:val="24"/>
        </w:rPr>
        <w:instrText xml:space="preserve"> HYPERLINK "javascript:;" </w:instrText>
      </w:r>
      <w:r>
        <w:rPr>
          <w:rFonts w:ascii="宋体" w:hAnsi="宋体" w:eastAsia="宋体" w:cs="宋体"/>
          <w:vanish/>
          <w:sz w:val="24"/>
          <w:szCs w:val="24"/>
        </w:rPr>
        <w:fldChar w:fldCharType="separate"/>
      </w:r>
    </w:p>
    <w:p w14:paraId="65EC0CB8">
      <w:pPr>
        <w:keepNext w:val="0"/>
        <w:keepLines w:val="0"/>
        <w:widowControl/>
        <w:suppressLineNumbers w:val="0"/>
        <w:jc w:val="left"/>
        <w:rPr>
          <w:vanish/>
        </w:rPr>
      </w:pPr>
      <w:r>
        <w:rPr>
          <w:rStyle w:val="13"/>
          <w:rFonts w:ascii="宋体" w:hAnsi="宋体" w:eastAsia="宋体" w:cs="宋体"/>
          <w:vanish/>
          <w:sz w:val="24"/>
          <w:szCs w:val="24"/>
        </w:rPr>
        <w:t xml:space="preserve">X </w:t>
      </w:r>
    </w:p>
    <w:p w14:paraId="56286512">
      <w:pPr>
        <w:keepNext w:val="0"/>
        <w:keepLines w:val="0"/>
        <w:widowControl/>
        <w:suppressLineNumbers w:val="0"/>
        <w:jc w:val="left"/>
        <w:rPr>
          <w:vanish/>
        </w:rPr>
      </w:pPr>
      <w:r>
        <w:rPr>
          <w:rStyle w:val="13"/>
          <w:rFonts w:ascii="宋体" w:hAnsi="宋体" w:eastAsia="宋体" w:cs="宋体"/>
          <w:vanish/>
          <w:sz w:val="24"/>
          <w:szCs w:val="24"/>
        </w:rPr>
        <w:t xml:space="preserve">分享到  - 微信 </w:t>
      </w:r>
    </w:p>
    <w:p w14:paraId="040E42D2">
      <w:pPr>
        <w:keepNext w:val="0"/>
        <w:keepLines w:val="0"/>
        <w:widowControl/>
        <w:suppressLineNumbers w:val="0"/>
        <w:jc w:val="left"/>
      </w:pPr>
      <w:r>
        <w:rPr>
          <w:rFonts w:ascii="宋体" w:hAnsi="宋体" w:eastAsia="宋体" w:cs="宋体"/>
          <w:vanish/>
          <w:sz w:val="24"/>
          <w:szCs w:val="24"/>
        </w:rPr>
        <w:fldChar w:fldCharType="end"/>
      </w:r>
    </w:p>
    <w:p w14:paraId="1F08A493">
      <w:pPr>
        <w:pStyle w:val="2"/>
        <w:keepNext w:val="0"/>
        <w:keepLines w:val="0"/>
        <w:widowControl/>
        <w:suppressLineNumbers w:val="0"/>
      </w:pPr>
      <w:r>
        <w:t>锡林郭勒盟行政公署办公室 关于印发《锡林郭勒盟关于推进优势特色 产业集群建设的指导意见》的通知</w:t>
      </w:r>
    </w:p>
    <w:p w14:paraId="5FF8CC32">
      <w:pPr>
        <w:keepNext w:val="0"/>
        <w:keepLines w:val="0"/>
        <w:widowControl/>
        <w:suppressLineNumbers w:val="0"/>
        <w:jc w:val="left"/>
      </w:pPr>
      <w:r>
        <w:rPr>
          <w:rFonts w:ascii="宋体" w:hAnsi="宋体" w:eastAsia="宋体" w:cs="宋体"/>
          <w:sz w:val="24"/>
          <w:szCs w:val="24"/>
        </w:rPr>
        <w:t xml:space="preserve">来源： 锡林郭勒盟行政公署办公室 发布日期： 2025-01-27 09:15 </w:t>
      </w:r>
    </w:p>
    <w:p w14:paraId="34E95793">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各旗县市(区)人民政府(管委会),行署各委、办、局，各企事业单位：</w:t>
      </w:r>
    </w:p>
    <w:p w14:paraId="423273CB">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《锡林郭勒盟关于推进优势特色产业集群建设的指导意见》已经行署2025年第1次常务会议审议通过，现印发给你们，请结合实际，认真贯彻落实。</w:t>
      </w:r>
    </w:p>
    <w:p w14:paraId="42BB35C9">
      <w:pPr>
        <w:pStyle w:val="9"/>
        <w:keepNext w:val="0"/>
        <w:keepLines w:val="0"/>
        <w:widowControl/>
        <w:suppressLineNumbers w:val="0"/>
        <w:spacing w:before="210" w:beforeAutospacing="0" w:after="210" w:afterAutospacing="0" w:line="315" w:lineRule="atLeast"/>
        <w:jc w:val="right"/>
        <w:rPr>
          <w:rFonts w:hint="eastAsia" w:ascii="宋体" w:hAnsi="宋体" w:eastAsia="宋体" w:cs="宋体"/>
          <w:sz w:val="24"/>
          <w:szCs w:val="24"/>
        </w:rPr>
      </w:pPr>
      <w:r>
        <w:rPr>
          <w:rFonts w:hint="eastAsia" w:ascii="宋体" w:hAnsi="宋体" w:eastAsia="宋体" w:cs="宋体"/>
          <w:sz w:val="24"/>
          <w:szCs w:val="24"/>
        </w:rPr>
        <w:t>　　锡林郭勒盟行政公署办公室</w:t>
      </w:r>
    </w:p>
    <w:p w14:paraId="480D7155">
      <w:pPr>
        <w:pStyle w:val="9"/>
        <w:keepNext w:val="0"/>
        <w:keepLines w:val="0"/>
        <w:widowControl/>
        <w:suppressLineNumbers w:val="0"/>
        <w:spacing w:before="210" w:beforeAutospacing="0" w:after="210" w:afterAutospacing="0" w:line="315" w:lineRule="atLeast"/>
        <w:jc w:val="right"/>
        <w:rPr>
          <w:rFonts w:hint="eastAsia" w:ascii="宋体" w:hAnsi="宋体" w:eastAsia="宋体" w:cs="宋体"/>
          <w:sz w:val="24"/>
          <w:szCs w:val="24"/>
        </w:rPr>
      </w:pPr>
      <w:r>
        <w:rPr>
          <w:rFonts w:hint="eastAsia" w:ascii="宋体" w:hAnsi="宋体" w:eastAsia="宋体" w:cs="宋体"/>
          <w:sz w:val="24"/>
          <w:szCs w:val="24"/>
        </w:rPr>
        <w:t>　　2025年1月27日</w:t>
      </w:r>
    </w:p>
    <w:p w14:paraId="128C6619">
      <w:pPr>
        <w:pStyle w:val="9"/>
        <w:keepNext w:val="0"/>
        <w:keepLines w:val="0"/>
        <w:widowControl/>
        <w:suppressLineNumbers w:val="0"/>
        <w:spacing w:before="210" w:beforeAutospacing="0" w:after="210" w:afterAutospacing="0" w:line="315" w:lineRule="atLeast"/>
        <w:jc w:val="center"/>
        <w:rPr>
          <w:rFonts w:hint="eastAsia" w:ascii="宋体" w:hAnsi="宋体" w:eastAsia="宋体" w:cs="宋体"/>
          <w:sz w:val="24"/>
          <w:szCs w:val="24"/>
        </w:rPr>
      </w:pPr>
      <w:r>
        <w:rPr>
          <w:rFonts w:hint="eastAsia" w:ascii="宋体" w:hAnsi="宋体" w:eastAsia="宋体" w:cs="宋体"/>
          <w:sz w:val="24"/>
          <w:szCs w:val="24"/>
        </w:rPr>
        <w:t>　　锡林郭勒盟关于推进优势特色产业集群建设的指导意见</w:t>
      </w:r>
    </w:p>
    <w:p w14:paraId="1971D5BF">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为深入贯彻习近平新时代中国特色社会主义思想，切实落实中央经济工作会议和自治区党委十一届九次全会暨全区经济工作会议精神，强攻产业、决战工业，加快推动我盟优势特色产业集群建设，着力构建现代化产业新体系，提出以下指导意见。</w:t>
      </w:r>
    </w:p>
    <w:p w14:paraId="21E5EF01">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一、总体要求</w:t>
      </w:r>
    </w:p>
    <w:p w14:paraId="63548BA3">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以习近平新时代中国特色社会主义思想为指导，以铸牢中华民族共同体意识为工作主线，锚定“闯新路、进中游”目标，优化调整产业布局，以新型工业化为核心，重点发展现代农牧业、现代服务业和新兴产业，全力推动绿色农畜产品、现代能源、现代装备制造、绿电+先进载能、新型化工、新材料、文旅“七大优势特色产业集群”建设，加快构建起多元发展、多极支撑的现代化产业体系。到2025年建成500亿元以上产业集群1个、200亿元以上产业集群2个、100亿元以上产业集群3个；到2027年建成800亿元以上产业集群1个、500亿元以上产业集群2个、200亿元以上产业集群3个、100亿元以上产业集群6个；到2030年建成900亿元以上产业集群1个、800亿元以上产业集群2个、500亿元以上产业集群4个、200亿元以上产业集群6个。</w:t>
      </w:r>
    </w:p>
    <w:p w14:paraId="186FEB48">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二、培育重点及主攻方向</w:t>
      </w:r>
    </w:p>
    <w:p w14:paraId="66E1833D">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(一)绿色农畜产品产业集群。(盟农牧局牵头推进)</w:t>
      </w:r>
    </w:p>
    <w:p w14:paraId="3D4921E9">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是肉牛产业。重点在南部和东北部区域、沙区和主要水系流域建设以西门塔尔牛、华西牛为主，安格斯牛为辅的优质良种肉牛产业带。2025年力争肉牛存栏达到240万头，实现产值150亿元以上；到2027年存栏达到248万头，产值达到170亿元以上；到2030年存栏达到260万头，产值达到200亿元以上。(责任部门：盟农牧局)</w:t>
      </w:r>
    </w:p>
    <w:p w14:paraId="4ECF5D40">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是肉羊产业。以天然草饲羊为主，坚持少养精养，重点在北部和西部地区建设“锡林郭勒羊中国特色农产品优势区”,打造国家级草原肉羊产业集群。2025年力争肉羊存栏稳定在1200万只，实现产值140亿元；到2027年产值达到170亿元；到2030年产值达到200亿元。(责任部门：盟农牧局)</w:t>
      </w:r>
    </w:p>
    <w:p w14:paraId="06065D51">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是马铃薯产业。聚焦自治区“马铃薯百亿级产业扩规提质”目标，打造太仆寺旗、多伦县、正蓝旗、锡林浩特市、乌拉盖管理区马铃薯产业带，建设国家级马铃薯优势特色产业集群。2025年力争马铃薯种植面积85万亩左右，种薯繁育面积5万亩以上，实现总产值75亿元；到2027年种植面积90万亩以上，种薯繁育面积6万亩，总产值达到85亿元；到2030年种植面积100万亩以上，种薯繁育面积8万亩，总产值达到100亿元。(责任部门：盟农牧局)</w:t>
      </w:r>
    </w:p>
    <w:p w14:paraId="075A0F2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四是特色乳制品产业。优化奶产业布局，突出“锡林郭勒奶酪”品牌优势，推动地方特色乳制品与文化旅游融合发展，着力在</w:t>
      </w:r>
    </w:p>
    <w:p w14:paraId="36216216">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南部和中西部地区加快建设奶业和特色乳制品产业基地。2025年力争奶牛存栏达到34万头，奶产量72万吨，实现产值90亿元；到2027年存栏达到40万头，奶产量80万吨，产值达到95亿元；到2030年存栏达到46万头，奶产量86万吨，产值达到100亿元。(责任部门：盟农牧局)</w:t>
      </w:r>
    </w:p>
    <w:p w14:paraId="55D11475">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(二)现代能源产业集群。(盟能源局牵头推进)</w:t>
      </w:r>
    </w:p>
    <w:p w14:paraId="03B3E341">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是煤炭产业。紧抓国家层面原则支持“十五五”期间在蒙东地区规划建设大型煤矿项目的机遇，组织完善重点矿区总规，适时启动新建煤矿项目，并支持保障在产煤矿稳定接续生产，提升煤炭产能规模。2025年力争煤炭产量达到1.5亿吨以上，实现产值360亿元以上；到2027年产量达到1.7亿吨左右，产值达到410亿元左右；到2030年产量达到2亿吨左右，产值达到480亿元以上。(责任部门：盟能源局)</w:t>
      </w:r>
    </w:p>
    <w:p w14:paraId="10BC504B">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是煤电产业。强化煤电兜底保障，加快推进国家规划内煤电项目建设，同步谋划争取支撑性保障性煤电项目；积极推进现役煤电机组升级改造，通过节能改造和灵活性改造，降低碳排放、污染物排放和能耗水平，提升机组深度调峰能力。2025年力争新增火电装机200万千瓦，装机总规模达到1900万千瓦；到2027年装机总规模达到2100万千瓦；到2030年装机总规模达到2500万千瓦左右。(责任部门：盟能源局)</w:t>
      </w:r>
    </w:p>
    <w:p w14:paraId="172AAD77">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三是新能源发电产业。坚持传统能源与新能源多能互补、协同发展，开展“两交一直”通道输电能力提升研究，争取浑善达克沙</w:t>
      </w:r>
    </w:p>
    <w:p w14:paraId="12413604">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地至京津冀、锡盟至江苏第二通道等外送通道纳规建设，争取布局实施大型风电光伏基地项目；结合浑善达克沙地治理，有序实施防沙治沙和风电光伏一体化工程等保障性新能源项目；根据负荷落地需求，积极谋划园区绿色供电、源网荷储一体化等市场化项目；结合增量配电网政策基础，探索在多伦县、正镶白旗等地区谋划增量配电网项目。2025年力争新能源装机达到3000万千瓦左右；到2027年达到3800万千瓦；到2030年达到5000万千瓦。(责任部门：盟能源局)</w:t>
      </w:r>
    </w:p>
    <w:p w14:paraId="20026B6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四是储能产业。利用储能十电价政策机制，适时布局建设大型独立储能电站，强化电网系统灵活调节和供电能力；紧盯新型储能发展方向，谋划布局重力储能、压缩空气储能、氢储能等项目，探索独立新型储能交易模式，促进储能产业多元化发展。2025年力争储能装机达到290万千瓦、总容量达到640万千瓦时；到2027年达到470万千瓦左右、总容量达到1200万千瓦时以上；到2030年达到1000万千瓦以上、总容量达到2500万千瓦时以上。(责任部门：盟能源局)</w:t>
      </w:r>
    </w:p>
    <w:p w14:paraId="24B553F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(三)现代装备制造产业集群。(盟工信局牵头推进)</w:t>
      </w:r>
    </w:p>
    <w:p w14:paraId="0735DC64">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瞄准第三代光伏组件新赛道，对接行业领军企业，引进钙钛矿光伏组件制备项目，培育新型光伏装备制造产业链；坚持“加工组装”向“制造”转变，补齐叶片、塔筒等大部件产能缺口，引进发电机、齿轮箱、减速机、制动器等核心零部件制造项目，做强风电装备制造产业链；依托绿电氢氨醇装备市场，进一步引进制氢电源、氢</w:t>
      </w:r>
    </w:p>
    <w:p w14:paraId="2457818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能储运加等装备制造项目，做全氢能装备制造产业链；抓好现有锂资源开发、电芯制造等储能电池项目，进一步引进电芯、正负极材料、隔膜、电解液、铜铝箔、结构件等化学储能，重力储能、压缩空气储能等装备制造项目，培育多元化储能装备制造产业；依托低空经济应用场景，引进具有核心竞争力的低空小型飞机、无人机制造及其零配件生产的头部企业，推动低空装备产业规模化、市场化、商业化发展。2025年力争新能源装备制造产业生产能力达到730万千瓦以上；到2027年基本形成风光氢储装备核心零部件制造全产业链，新能源装备制造产业生产能力达到1620万千瓦以上，引进1—2家低空小型飞机、无人机制造及其零配件生产企业；到2030年基本建成立足盟内、辐射全区的装备制造产业基地，新能源装备制造产业生产能力达到3250万千瓦以上，引育1—3家低空经济头部企业和研发制造企业，初步形成低空制造、低空飞行、低空保障、低空应用等综合服务一体化低空产业链条。(责任部</w:t>
      </w:r>
    </w:p>
    <w:p w14:paraId="2AF60B2B">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门：盟工信局；配合部门：盟能源局)</w:t>
      </w:r>
    </w:p>
    <w:p w14:paraId="189EA9C0">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(四)绿电+先进载能产业集群。(盟工信局牵头推进)</w:t>
      </w:r>
    </w:p>
    <w:p w14:paraId="07222946">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是绿电+铁合金产业。依托资源、区位和产业基础，采取源网荷储一体化方式，继续谋划引进绿电+铁合金产业项目，落地高碳铬铁、硅铁、硅锰合金等先进铁合金项目，适度布局低微碳铬铁、低微碳锰铁等特种铁合金项目。2025年力争铁合金产能达到66万吨，实现产值20亿元；到2027年，铁合金产能达到460万吨，产值达到200亿元；到2030年，铁合金产能达到950万吨，产值超</w:t>
      </w:r>
    </w:p>
    <w:p w14:paraId="1496823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500亿元。(责任部门：盟工信局)</w:t>
      </w:r>
    </w:p>
    <w:p w14:paraId="25D98705">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是绿电+铝产业。依托煤矿、电厂组合条件，充分释放已有产业项目产能，加快培育壮大绿电+电解铝产业，并逐步向下游延伸。2025年力争实现产值140亿元；到2027年产值达到150亿元；到2030年产值达到280亿元。(责任部门：盟工信局)</w:t>
      </w:r>
    </w:p>
    <w:p w14:paraId="0B4ECD2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是绿电+氢氨醇产业。依托绿电资源优势，拓展绿氢绿氨绿醇消纳场景，招引绿电制氢氨醇等项目，打造绿电制氢氨醇产业基地；在水资源丰富、交通便利的多伦县等地区规划建设绿电制氢氨醇项目，打造绿氢绿氨绿醇产业园区。依托区位优势，谋划建设多伦—承德输氢管道，推动接入康保至曹妃甸输氢管道，实现绿氢远距离、大规模输送。2025年力争制氢能力达到5000吨以上；到2027年制氢能力达到10万吨以上、制氨能力20万吨以上、制醇能力15万吨以上；到2030年制氢能力达到20万吨左右、制氨能力80万吨以上、制醇能力30万吨以上。(责任部门：盟能源局；配合部门：盟工信局)</w:t>
      </w:r>
    </w:p>
    <w:p w14:paraId="1D193BC5">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(五)新型化工产业集群。(盟工信局牵头推进)</w:t>
      </w:r>
    </w:p>
    <w:p w14:paraId="7DCD5641">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是现代煤化工产业。对接大唐加紧实施高端新材料项目，推动多伦煤化工由煤制甲醇、煤制聚丙烯等初级产品向烯烃、弹性材料等终端产品延伸产业链，实现提升经济效益和降低能耗水平双目标。开展中煤、国能煤制气项目前期，与大型央国企、化工龙头企业对接谋划高端油品、高价值精细化工项目，促进煤炭资源清洁高效利用。2025年力争煤化工产业实现产值45亿元；到2027</w:t>
      </w:r>
    </w:p>
    <w:p w14:paraId="11AABC0B">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年产值达到70亿元；到2030年产值超140亿元。(责任部门：盟</w:t>
      </w:r>
    </w:p>
    <w:p w14:paraId="1CFDD1C7">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发改委；配合部门：盟能源局)</w:t>
      </w:r>
    </w:p>
    <w:p w14:paraId="5482EB1F">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是氟化工产业。坚持矿化一体，依托优质萤石资源和化工园区，引进氟化工新材料制造项目，打造适用于锂电、钠电、光伏、风电装备制造等产业的氟材料产业主链，适用于信息产业、医药农药、铝冶炼、环境友好型氟碳化学品等产业的氟材料产业辅链。到2025年力争氟化工产业实现产值5亿元；到2027年产值达到50亿元；到2030年产值超400亿元。(责任部门：盟工信局)</w:t>
      </w:r>
    </w:p>
    <w:p w14:paraId="2D8B8D13">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(六)新材料产业集群。(盟工信局牵头推进)</w:t>
      </w:r>
    </w:p>
    <w:p w14:paraId="60584F2D">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是先进金属材料产业。依托锗资源优势，打造褐煤提锗一高纯锗一锗单晶一锗片全产业链；依托钨铋铌钽铷铯等战略性资源，谋划实施稀贵金属加工及综合利用项目；依托钼资源优势，打造世界级钼产业基地；依托铁矿资源，推进高性能磁性材料项目；依托丰富的铅锌等资源，推动金属冶炼加工产业发展，逐步实现“资源不转化不开发、不加工不出盟”。2025年力争先进金属材料产业实现产值25亿元；到2027年产值达到40亿元；到2030年产值达到70亿元。(责任部门：盟工信局)</w:t>
      </w:r>
    </w:p>
    <w:p w14:paraId="40C974FB">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是锂电产业。强化锂资源勘探开发，稳步扩大产能产量，推动综合利用，加快从锂资源开发到正负极材料、锂电池、储能系统的全产业强链扩圈。2025年力争锂电产业实现产值10亿元；到2027年产值达到60亿元；到2030年产值超120亿元。(责任部门：盟工信局)</w:t>
      </w:r>
    </w:p>
    <w:p w14:paraId="41B2DFE7">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是先进碳材料产业。优化超硬材料产业科技园区承载能力和服务水平，促进压机设备制造、工业用金刚石、钻石培育、石墨电极、石墨粉提纯、石墨柱压制等产业集中集聚。深化产学研合作，推动先进碳材料半导体在功能材料、军工材料、航空航天、金刚石窗口、金刚石涂层等高端领域的应用，打造超硬材料生产基地。2025年力争先进碳材料产业实现产值10亿元；到2027年产值达到25亿元；到2030年产值超30亿元。(责任部门：盟工信局)</w:t>
      </w:r>
    </w:p>
    <w:p w14:paraId="7F85515A">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(七)文旅产业集群。(盟文体旅游广电局牵头推进)</w:t>
      </w:r>
    </w:p>
    <w:p w14:paraId="42A350C0">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是浑善达克沙地旅游产业。围绕打造自驾游首选地，打响浑善达克沙地自驾穿越大环线，编制浑善达克旅游区和浑善达克沙地公园规划，合理规划基础设施建设、业态植入、要素分布，科学布局浑善达克沙地旅游产业，将“稀树草原·沙地圣境”培育成全国知名品牌。2025年引流10万人次，专题宣传曝光量达到5亿；到2027年开发浑善达克沙地自驾游精品穿越线路10个、精品研学产品10个、户外探险露营地10个，“浑善达克拉力赛”成为全国知名文旅IP;到2030年完成浑善达克沙地公园建设，引流20万人次，“稀树草原·沙地圣境”成为全国知名品牌。(责任部门：盟文体旅游广电局)</w:t>
      </w:r>
    </w:p>
    <w:p w14:paraId="23C921EA">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是马主题旅游产业。深度挖掘马文化旅游资源，以锡林浩特市、阿巴嘎旗、西乌珠穆沁旗、东乌珠穆沁旗、太仆寺旗为主，辐射带动其他地区，统筹实施马主题文旅项目，打造蒙古马系列赛事活动，加强马主题旅游景区运营管理，分级分类开展骑乘用马、教</w:t>
      </w:r>
    </w:p>
    <w:p w14:paraId="09B574E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学用马、赛事用马调训，推动马文旅产业与一二三产业融合发展，打造祖国北疆马主题旅游目的地。2025年建成运营阿巴嘎旗孩子与马文化苑、西乌珠穆沁旗白马文化产业基地、环多伦300公里最美风景大环线马术穿越项目，启动苏尼特左旗蒙古马骑乘训练及性能测定基地项目；到2027年马匹分类调训形成体系，蒙古马超级联赛成为全国知名的马主题品牌赛事；到2030年马匹调训产业链条更加完整、市场体系更加健全，蒙古马超级联赛成为国家级品牌赛事活动，力争创建全国知名马主题研学旅游基地1个、马主题精品线路1条，蒙古马调训销售产值500万元以上。(责任部门：盟文体旅游广电局)</w:t>
      </w:r>
    </w:p>
    <w:p w14:paraId="2E18C487">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是草原生态旅游产业。聚焦打造自驾游的首选地、露营游的佳选地、度假游的必选地、康养游的优选地和创建国家5A级旅游景区，以乌拉盖管理区、西乌珠穆沁旗为核心，重点打造草原那达慕节日品牌，着力发展草原深度游、低空观光游、民俗体验游、度假休闲游、亲子研学游，打响擦亮“辽阔草原·锡林郭勒”文旅品牌。2025年成功举办内蒙古第35届草原那达慕，办好“天天那达慕”系列活动，将西乌珠穆沁旗草原“99号公路”打造为交旅融合新样板；到2027年乌拉盖草原九曲湾景区创成国家5A级旅游景区，草原那达慕、“天天那达慕”成为国内知名文旅品牌活动，“三乌地区”跨区域合作联合体基本形成；到2030年全盟A级旅游景区达到35个，草原那达慕、“天天那达慕”节日品牌国内国际影响力进一步扩大，成为带动地方经济发展的重要引擎。(责任部门：盟</w:t>
      </w:r>
    </w:p>
    <w:p w14:paraId="2BBC2199">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文体旅游广电局)</w:t>
      </w:r>
    </w:p>
    <w:p w14:paraId="324AB0E4">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四是农牧文旅融合产业。紧扣国家乡村振兴战略，串联锡林浩特市、太仆寺旗、多伦县城郊农牧旅游资源，引进培育贯通产加销、融合农牧文旅的产业化联合体，打造“景区带动型、民俗文化依托型、生态资源依托型、精品民俗带动型”四类乡村，促进农牧、文旅深度融合发展。2025年加快打造锡林浩特市南郊、太仆寺旗宝昌镇边墙村、多伦县滦源镇温塘河村农牧文旅融合示范点；到2027年力争多伦湖旅游度假区创建成为国家级旅游度假区，培育农牧文旅融合线路5条以上；到2030年打造农牧文旅融合示范项目8个以上，自治区级乡村旅游重点村镇12处以上，锡林浩特市南郊农文旅融合综合体建成，乌拉盖管理区旅游度假区进入国家级旅游度假区创建序列。(责任部门：盟文体旅游广电局)</w:t>
      </w:r>
    </w:p>
    <w:p w14:paraId="01C7BB90">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五是边境旅游产业。加快边境旅游试验区核心项目建设，围绕口岸观光主线建设好文化休闲、互市贸易、商业街区等板块，强化区域合作，增强边境旅游试验区影响力、辐射力和经济活力。以打造国道331“最美边境公路”为目标，建设好交通旅游融合服务驿站体系，实现边境国道向复合功能旅游型风景道转变。2025年加快实施珠恩嘎达布其边境旅游试验区等项目建设；到2027年珠恩嘎达布其边境旅游试验区一期工程建成运营，开发跨境游、边境游精品线路10条；到2030年珠恩嘎达布其边境旅游试验区二期工程建成，珠恩嘎达布其边境旅游试验区整体投入运营，打造形成北接蒙古国乌兰巴托市、苏赫巴托省和俄罗斯乌兰乌德、伊尔库茨</w:t>
      </w:r>
    </w:p>
    <w:p w14:paraId="285845A7">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克等地，南连我国内地的跨境跨区域精品旅游圈。(责任部门：盟文体旅游广电局)</w:t>
      </w:r>
    </w:p>
    <w:p w14:paraId="57FCA754">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三、重点任务</w:t>
      </w:r>
    </w:p>
    <w:p w14:paraId="118C97BB">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实施重大项目谋划行动。准确把握国家和自治区政策导向，抓好项目研究、谋划和储备，争取更多项目纳入国家、自治区重大项目清单。借助国家推动“两重”加力、“两新”突围，发行超长期特别国债、专项债等利好政策，围绕优势特色产业集群建设、基础设施配套条件改善等方面抓紧谋划储备优质项目。加强保障、优化服务，进一步强化重大项目要素支撑和服务监管，确保近期项目尽快落地实施，远期项目尽快启动前期。</w:t>
      </w:r>
    </w:p>
    <w:p w14:paraId="08428439">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实施助企行动。坚持问题导向，以更大力度深化“放管服”改革，推动涉企事项“一网统管”“一网通办”,最大限度为企业发展松绑助力。坚持国有企业、民营企业一视同仁，大中小企业一律平等，打破隐性壁垒、消除各种门槛。开展规范涉企执法专项行动，全面推行“双随机、一公开”“互联网+监管”,最大限度“进一次门、查多项事”。继续落实好领导联系重点企业等制度，主动为企业找订单、找市场，强化融资、土地、用能等要素保障，为企业提供全生命周期服务。</w:t>
      </w:r>
    </w:p>
    <w:p w14:paraId="06765DA1">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实施区域合作深化行动。积极融入“一带一路”和中蒙俄经济走廊建设，全力支持中蒙经济合作区建设发展，提升二连浩特、珠恩嘎达布其口岸功能，规划建设中蒙双方零碳园区，因地制宜发展优势特色产业。深入落实东北振兴、西部大开发等战略，深</w:t>
      </w:r>
    </w:p>
    <w:p w14:paraId="60FF0BDF">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化与周边地区一体化发展、口岸腹地联动发展，携手加快贯通东北陆海新通道，围绕承接产业转移、能源开发、产业协作等开展深度合作。</w:t>
      </w:r>
    </w:p>
    <w:p w14:paraId="5010F08A">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四)实施招商引资行动。以服务培育壮大优势特色产业集群为核心，坚持有链强链、无链建链、短链延链，深入实施招商引资行动，瞄准行业头部企业、链主企业精准招商，实现从招引“单一项目、单一企业”向“构建完整产业链、促进产业集群发展”转变。采用以商招商、产业链招商、基金招商等方式，发挥大企业大项目带动聚合作用，吸引和聚集上下游企业组团式投资、集群式发展。支持盟旗国有企业参与优势特色产业集群建设。</w:t>
      </w:r>
    </w:p>
    <w:p w14:paraId="35562780">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五)实施绿色化智能化行动。锚定“双碳”目标推进绿色转型，引导企业开展节能技术改造，创建绿色工厂、开发绿色产品、打造绿色供应链，提高新材料产业绿色发展水平。引导重点用能企业实施节能降碳改造，推动高载能行业与绿电耦合发展。加快推动传统产业数字化转型，引导企业加大智能化、数字化改造，创建智能工厂，建设数字化车间，推动产业链向高端化、智能化方向发展。</w:t>
      </w:r>
    </w:p>
    <w:p w14:paraId="41046AD2">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六)实施科技创新行动。聚焦发展需求、聚集优质资源、聚力顶尖团队，布局实施一批关键技术、关键材料、关键装备科技项目，实现关键核心技术、成果应用突围。支持重点企业牵头组建产业链创新联合体，推动区内外高校、科研院所、新型研发机构等协同联动，赋能产业链上中下游，促进企业在更新装备技术、调整产品</w:t>
      </w:r>
    </w:p>
    <w:p w14:paraId="6D1EFC2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结构、开展成果转化等方面推陈出新。</w:t>
      </w:r>
    </w:p>
    <w:p w14:paraId="3D2CF42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七)实施园区提档升级行动。大力推广“区域先评估、包装标准地、建好标准厂、签约即开工”等先进做法，推动白音华经济开发区认定为自治区化工园区，指导阿巴嘎旗、东乌珠穆沁旗、镶黄旗设立工业园区，不断优化园区服务水平和承载能力，为优势特色产业集群项目落地提供优质载体。</w:t>
      </w:r>
    </w:p>
    <w:p w14:paraId="14B6334B">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四、保障措施</w:t>
      </w:r>
    </w:p>
    <w:p w14:paraId="774F542F">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一)加强组织实施。各地区、各部门要把建设优势特色产业集群作为重要任务来抓，主要领导亲自研究部署、亲自推动落实，坚决扛起责任。地区间和部门间要加强统筹协调，形成目标同向、措施一体、行动同步的整体性推进工作格局。</w:t>
      </w:r>
    </w:p>
    <w:p w14:paraId="75FAB33C">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二)完善推进机制。建立“七个一”推进机制，各集群明确一位责任领导、确定一个牵头部门、组建一个工作专班、制定一个工作方案、培育一个链主企业、成立一个技术联盟、健全一条完整产业链。各产业集群牵头部门负责制定工作方案，明确本集群发展现状、发展思路、发展目标、产业布局、实现路径等内容，落实好推进机制，拿出管用的实招和有力的抓手。</w:t>
      </w:r>
    </w:p>
    <w:p w14:paraId="773BD49D">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三)强化要素支撑。统筹好盟内要素分布和产业布局的关系，集中力量强化对集群重点项目的用煤、用水、用地、用能、园区承载等方面要素的支撑保障，加强财税、产业、金融、人才等政策的协调配套，构建坚实的要素保障体系。</w:t>
      </w:r>
    </w:p>
    <w:p w14:paraId="76D091B6">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(四)开展跟踪调度。各牵头部门加强对集群建设情况跟进，</w:t>
      </w:r>
    </w:p>
    <w:p w14:paraId="0E6BE1E3">
      <w:pPr>
        <w:pStyle w:val="9"/>
        <w:keepNext w:val="0"/>
        <w:keepLines w:val="0"/>
        <w:widowControl/>
        <w:suppressLineNumbers w:val="0"/>
        <w:spacing w:before="210" w:beforeAutospacing="0" w:after="210" w:afterAutospacing="0" w:line="315" w:lineRule="atLeast"/>
        <w:jc w:val="both"/>
        <w:rPr>
          <w:rFonts w:hint="eastAsia" w:ascii="宋体" w:hAnsi="宋体" w:eastAsia="宋体" w:cs="宋体"/>
          <w:sz w:val="24"/>
          <w:szCs w:val="24"/>
        </w:rPr>
      </w:pPr>
      <w:r>
        <w:rPr>
          <w:rFonts w:hint="eastAsia" w:ascii="宋体" w:hAnsi="宋体" w:eastAsia="宋体" w:cs="宋体"/>
          <w:sz w:val="24"/>
          <w:szCs w:val="24"/>
        </w:rPr>
        <w:t>　　定期组织专班成员召开调度会议，盘点项目建设和整体推进情况，分析差距和不足，研究部署下一步工作重点。遇到的问题积极与专班成员进行会商协调，重大事项及时向行署报告，确保产业集群建设工作有序推进。</w:t>
      </w:r>
    </w:p>
    <w:p w14:paraId="0C61D82C">
      <w:pPr>
        <w:pStyle w:val="9"/>
        <w:keepNext w:val="0"/>
        <w:keepLines w:val="0"/>
        <w:widowControl/>
        <w:suppressLineNumbers w:val="0"/>
        <w:spacing w:before="90" w:beforeAutospacing="0" w:after="0" w:afterAutospacing="1"/>
        <w:ind w:left="105" w:right="0"/>
        <w:jc w:val="left"/>
      </w:pPr>
      <w:r>
        <w:rPr>
          <w:rFonts w:ascii="楷体" w:hAnsi="楷体" w:eastAsia="楷体" w:cs="楷体"/>
          <w:color w:val="000000"/>
          <w:spacing w:val="5"/>
          <w:sz w:val="27"/>
          <w:szCs w:val="27"/>
          <w:vertAlign w:val="baseline"/>
        </w:rPr>
        <w:t>附件</w:t>
      </w:r>
    </w:p>
    <w:p w14:paraId="29B6BE5B">
      <w:pPr>
        <w:pStyle w:val="9"/>
        <w:keepNext w:val="0"/>
        <w:keepLines w:val="0"/>
        <w:widowControl/>
        <w:suppressLineNumbers w:val="0"/>
        <w:spacing w:before="90" w:beforeAutospacing="0" w:after="0" w:afterAutospacing="1"/>
        <w:ind w:left="105" w:right="0"/>
        <w:jc w:val="center"/>
      </w:pPr>
      <w:r>
        <w:rPr>
          <w:rFonts w:hint="eastAsia" w:ascii="宋体" w:hAnsi="宋体" w:eastAsia="宋体" w:cs="宋体"/>
          <w:b/>
          <w:bCs/>
          <w:color w:val="000000"/>
          <w:spacing w:val="-8"/>
          <w:sz w:val="37"/>
          <w:szCs w:val="37"/>
          <w:vertAlign w:val="baseline"/>
        </w:rPr>
        <w:t>锡林郭勒盟优势特色产业集群目标产值</w:t>
      </w:r>
    </w:p>
    <w:p w14:paraId="0BE70381">
      <w:pPr>
        <w:pStyle w:val="9"/>
        <w:keepNext w:val="0"/>
        <w:keepLines w:val="0"/>
        <w:widowControl/>
        <w:suppressLineNumbers w:val="0"/>
        <w:spacing w:before="75" w:beforeAutospacing="0"/>
        <w:ind w:left="7860"/>
        <w:jc w:val="left"/>
      </w:pPr>
      <w:r>
        <w:rPr>
          <w:rFonts w:hint="eastAsia" w:ascii="宋体" w:hAnsi="宋体" w:eastAsia="宋体" w:cs="宋体"/>
          <w:color w:val="000000"/>
          <w:spacing w:val="-2"/>
          <w:sz w:val="21"/>
          <w:szCs w:val="21"/>
          <w:vertAlign w:val="baseline"/>
        </w:rPr>
        <w:t>                                       单位：亿元</w:t>
      </w:r>
    </w:p>
    <w:tbl>
      <w:tblP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56"/>
        <w:gridCol w:w="2844"/>
        <w:gridCol w:w="1369"/>
        <w:gridCol w:w="1399"/>
        <w:gridCol w:w="1369"/>
      </w:tblGrid>
      <w:tr w14:paraId="3E96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50" w:type="dxa"/>
            <w:vMerge w:val="restart"/>
            <w:tcBorders>
              <w:top w:val="single" w:color="000000" w:sz="6" w:space="0"/>
              <w:left w:val="single" w:color="000000" w:sz="6" w:space="0"/>
              <w:bottom w:val="nil"/>
              <w:right w:val="single" w:color="000000" w:sz="6" w:space="0"/>
            </w:tcBorders>
            <w:shd w:val="clear"/>
            <w:tcMar>
              <w:top w:w="0" w:type="dxa"/>
              <w:left w:w="0" w:type="dxa"/>
              <w:bottom w:w="0" w:type="dxa"/>
              <w:right w:w="0" w:type="dxa"/>
            </w:tcMar>
            <w:vAlign w:val="top"/>
          </w:tcPr>
          <w:p w14:paraId="5D42B864">
            <w:pPr>
              <w:pStyle w:val="9"/>
              <w:keepNext w:val="0"/>
              <w:keepLines w:val="0"/>
              <w:widowControl/>
              <w:suppressLineNumbers w:val="0"/>
              <w:spacing w:before="75" w:beforeAutospacing="0" w:after="0" w:afterAutospacing="1"/>
              <w:ind w:left="765" w:right="0"/>
            </w:pPr>
            <w:r>
              <w:rPr>
                <w:rFonts w:hint="eastAsia" w:ascii="宋体" w:hAnsi="宋体" w:eastAsia="宋体" w:cs="宋体"/>
                <w:color w:val="000000"/>
                <w:spacing w:val="-3"/>
                <w:sz w:val="21"/>
                <w:szCs w:val="21"/>
              </w:rPr>
              <w:t>集群</w:t>
            </w:r>
          </w:p>
        </w:tc>
        <w:tc>
          <w:tcPr>
            <w:tcW w:w="2835" w:type="dxa"/>
            <w:vMerge w:val="restart"/>
            <w:tcBorders>
              <w:top w:val="single" w:color="000000" w:sz="6" w:space="0"/>
              <w:left w:val="single" w:color="000000" w:sz="6" w:space="0"/>
              <w:bottom w:val="nil"/>
              <w:right w:val="single" w:color="000000" w:sz="6" w:space="0"/>
            </w:tcBorders>
            <w:shd w:val="clear"/>
            <w:tcMar>
              <w:top w:w="0" w:type="dxa"/>
              <w:left w:w="0" w:type="dxa"/>
              <w:bottom w:w="0" w:type="dxa"/>
              <w:right w:w="0" w:type="dxa"/>
            </w:tcMar>
            <w:vAlign w:val="top"/>
          </w:tcPr>
          <w:p w14:paraId="39C6E485">
            <w:pPr>
              <w:pStyle w:val="9"/>
              <w:keepNext w:val="0"/>
              <w:keepLines w:val="0"/>
              <w:widowControl/>
              <w:suppressLineNumbers w:val="0"/>
              <w:spacing w:before="75" w:beforeAutospacing="0" w:after="0" w:afterAutospacing="1"/>
              <w:ind w:left="1200" w:right="0"/>
            </w:pPr>
            <w:r>
              <w:rPr>
                <w:rFonts w:hint="eastAsia" w:ascii="宋体" w:hAnsi="宋体" w:eastAsia="宋体" w:cs="宋体"/>
                <w:color w:val="000000"/>
                <w:spacing w:val="-3"/>
                <w:sz w:val="21"/>
                <w:szCs w:val="21"/>
              </w:rPr>
              <w:t>产业</w:t>
            </w:r>
          </w:p>
        </w:tc>
        <w:tc>
          <w:tcPr>
            <w:tcW w:w="4125" w:type="dxa"/>
            <w:gridSpan w:val="3"/>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C523188">
            <w:pPr>
              <w:pStyle w:val="9"/>
              <w:keepNext w:val="0"/>
              <w:keepLines w:val="0"/>
              <w:widowControl/>
              <w:suppressLineNumbers w:val="0"/>
              <w:spacing w:before="150" w:beforeAutospacing="0" w:after="0" w:afterAutospacing="1"/>
              <w:ind w:left="1785" w:right="0"/>
            </w:pPr>
            <w:r>
              <w:rPr>
                <w:rFonts w:hint="eastAsia" w:ascii="宋体" w:hAnsi="宋体" w:eastAsia="宋体" w:cs="宋体"/>
                <w:color w:val="000000"/>
                <w:spacing w:val="2"/>
                <w:sz w:val="21"/>
                <w:szCs w:val="21"/>
              </w:rPr>
              <w:t>目标值</w:t>
            </w:r>
          </w:p>
        </w:tc>
      </w:tr>
      <w:tr w14:paraId="764F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single" w:color="000000" w:sz="6" w:space="0"/>
              <w:left w:val="single" w:color="000000" w:sz="6" w:space="0"/>
              <w:bottom w:val="nil"/>
              <w:right w:val="single" w:color="000000" w:sz="6" w:space="0"/>
            </w:tcBorders>
            <w:shd w:val="clear"/>
            <w:tcMar>
              <w:top w:w="0" w:type="dxa"/>
              <w:left w:w="0" w:type="dxa"/>
              <w:bottom w:w="0" w:type="dxa"/>
              <w:right w:w="0" w:type="dxa"/>
            </w:tcMar>
            <w:vAlign w:val="top"/>
          </w:tcPr>
          <w:p w14:paraId="6C96A678">
            <w:pPr>
              <w:rPr>
                <w:rFonts w:hint="eastAsia" w:ascii="宋体"/>
                <w:sz w:val="24"/>
                <w:szCs w:val="24"/>
              </w:rPr>
            </w:pPr>
          </w:p>
        </w:tc>
        <w:tc>
          <w:tcPr>
            <w:tcW w:w="2835" w:type="dxa"/>
            <w:vMerge w:val="continue"/>
            <w:tcBorders>
              <w:top w:val="single" w:color="000000" w:sz="6" w:space="0"/>
              <w:left w:val="single" w:color="000000" w:sz="6" w:space="0"/>
              <w:bottom w:val="nil"/>
              <w:right w:val="single" w:color="000000" w:sz="6" w:space="0"/>
            </w:tcBorders>
            <w:shd w:val="clear"/>
            <w:tcMar>
              <w:top w:w="0" w:type="dxa"/>
              <w:left w:w="0" w:type="dxa"/>
              <w:bottom w:w="0" w:type="dxa"/>
              <w:right w:w="0" w:type="dxa"/>
            </w:tcMar>
            <w:vAlign w:val="top"/>
          </w:tcPr>
          <w:p w14:paraId="500CD7A6">
            <w:pPr>
              <w:rPr>
                <w:rFonts w:hint="eastAsia" w:ascii="宋体"/>
                <w:sz w:val="24"/>
                <w:szCs w:val="24"/>
              </w:rPr>
            </w:pP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BFA5907">
            <w:pPr>
              <w:pStyle w:val="9"/>
              <w:keepNext w:val="0"/>
              <w:keepLines w:val="0"/>
              <w:widowControl/>
              <w:suppressLineNumbers w:val="0"/>
              <w:spacing w:before="180" w:beforeAutospacing="0" w:after="0" w:afterAutospacing="1"/>
              <w:ind w:left="360" w:right="0"/>
            </w:pPr>
            <w:r>
              <w:rPr>
                <w:rFonts w:hint="eastAsia" w:ascii="宋体" w:hAnsi="宋体" w:eastAsia="宋体" w:cs="宋体"/>
                <w:color w:val="000000"/>
                <w:spacing w:val="-2"/>
                <w:sz w:val="21"/>
                <w:szCs w:val="21"/>
              </w:rPr>
              <w:t>2025年</w:t>
            </w:r>
          </w:p>
        </w:tc>
        <w:tc>
          <w:tcPr>
            <w:tcW w:w="139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EA0784A">
            <w:pPr>
              <w:pStyle w:val="9"/>
              <w:keepNext w:val="0"/>
              <w:keepLines w:val="0"/>
              <w:widowControl/>
              <w:suppressLineNumbers w:val="0"/>
              <w:spacing w:before="180" w:beforeAutospacing="0" w:after="0" w:afterAutospacing="1"/>
              <w:ind w:left="375" w:right="0"/>
            </w:pPr>
            <w:r>
              <w:rPr>
                <w:rFonts w:hint="eastAsia" w:ascii="宋体" w:hAnsi="宋体" w:eastAsia="宋体" w:cs="宋体"/>
                <w:color w:val="000000"/>
                <w:spacing w:val="-2"/>
                <w:sz w:val="21"/>
                <w:szCs w:val="21"/>
              </w:rPr>
              <w:t>2027年</w:t>
            </w:r>
          </w:p>
        </w:tc>
        <w:tc>
          <w:tcPr>
            <w:tcW w:w="1350"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DC4EB70">
            <w:pPr>
              <w:pStyle w:val="9"/>
              <w:keepNext w:val="0"/>
              <w:keepLines w:val="0"/>
              <w:widowControl/>
              <w:suppressLineNumbers w:val="0"/>
              <w:spacing w:before="180" w:beforeAutospacing="0" w:after="0" w:afterAutospacing="1"/>
              <w:ind w:left="360" w:right="0"/>
            </w:pPr>
            <w:r>
              <w:rPr>
                <w:rFonts w:hint="eastAsia" w:ascii="宋体" w:hAnsi="宋体" w:eastAsia="宋体" w:cs="宋体"/>
                <w:color w:val="000000"/>
                <w:spacing w:val="-2"/>
                <w:sz w:val="21"/>
                <w:szCs w:val="21"/>
              </w:rPr>
              <w:t>2030年</w:t>
            </w:r>
          </w:p>
        </w:tc>
      </w:tr>
      <w:tr w14:paraId="7416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6AAE5E7C">
            <w:pPr>
              <w:pStyle w:val="9"/>
              <w:keepNext w:val="0"/>
              <w:keepLines w:val="0"/>
              <w:widowControl/>
              <w:suppressLineNumbers w:val="0"/>
              <w:spacing w:before="75" w:beforeAutospacing="0" w:after="0" w:afterAutospacing="1"/>
              <w:ind w:left="555" w:right="330" w:hanging="209"/>
            </w:pPr>
            <w:r>
              <w:rPr>
                <w:rFonts w:hint="eastAsia" w:ascii="宋体" w:hAnsi="宋体" w:eastAsia="宋体" w:cs="宋体"/>
                <w:color w:val="000000"/>
                <w:spacing w:val="3"/>
                <w:sz w:val="21"/>
                <w:szCs w:val="21"/>
              </w:rPr>
              <w:t>绿色农畜产品</w:t>
            </w:r>
            <w:r>
              <w:t> </w:t>
            </w:r>
            <w:r>
              <w:rPr>
                <w:rFonts w:hint="eastAsia" w:ascii="宋体" w:hAnsi="宋体" w:eastAsia="宋体" w:cs="宋体"/>
                <w:color w:val="000000"/>
                <w:spacing w:val="-2"/>
                <w:sz w:val="21"/>
                <w:szCs w:val="21"/>
              </w:rPr>
              <w:t>产业集群</w:t>
            </w: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A95D1F7">
            <w:pPr>
              <w:pStyle w:val="9"/>
              <w:keepNext w:val="0"/>
              <w:keepLines w:val="0"/>
              <w:widowControl/>
              <w:suppressLineNumbers w:val="0"/>
              <w:spacing w:before="105" w:beforeAutospacing="0" w:after="0" w:afterAutospacing="1"/>
              <w:ind w:left="990" w:right="0"/>
            </w:pPr>
            <w:r>
              <w:rPr>
                <w:rFonts w:hint="eastAsia" w:ascii="宋体" w:hAnsi="宋体" w:eastAsia="宋体" w:cs="宋体"/>
                <w:color w:val="000000"/>
                <w:spacing w:val="1"/>
                <w:sz w:val="21"/>
                <w:szCs w:val="21"/>
              </w:rPr>
              <w:t>肉牛产业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9A79A35">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6"/>
                <w:sz w:val="21"/>
                <w:szCs w:val="21"/>
              </w:rPr>
              <w:t>150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464DAA3">
            <w:pPr>
              <w:pStyle w:val="9"/>
              <w:keepNext w:val="0"/>
              <w:keepLines w:val="0"/>
              <w:widowControl/>
              <w:suppressLineNumbers w:val="0"/>
              <w:spacing w:before="120" w:beforeAutospacing="0" w:after="0" w:afterAutospacing="1"/>
              <w:ind w:left="540" w:right="0"/>
            </w:pPr>
            <w:r>
              <w:rPr>
                <w:rFonts w:hint="eastAsia" w:ascii="宋体" w:hAnsi="宋体" w:eastAsia="宋体" w:cs="宋体"/>
                <w:color w:val="000000"/>
                <w:spacing w:val="-6"/>
                <w:sz w:val="21"/>
                <w:szCs w:val="21"/>
              </w:rPr>
              <w:t>170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1C5D0FA">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3"/>
                <w:sz w:val="21"/>
                <w:szCs w:val="21"/>
              </w:rPr>
              <w:t>200</w:t>
            </w:r>
          </w:p>
        </w:tc>
      </w:tr>
      <w:tr w14:paraId="06F8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277E5584">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D750257">
            <w:pPr>
              <w:pStyle w:val="9"/>
              <w:keepNext w:val="0"/>
              <w:keepLines w:val="0"/>
              <w:widowControl/>
              <w:suppressLineNumbers w:val="0"/>
              <w:spacing w:before="105" w:beforeAutospacing="0" w:after="0" w:afterAutospacing="1"/>
              <w:ind w:left="990" w:right="0"/>
            </w:pPr>
            <w:r>
              <w:rPr>
                <w:rFonts w:hint="eastAsia" w:ascii="宋体" w:hAnsi="宋体" w:eastAsia="宋体" w:cs="宋体"/>
                <w:color w:val="000000"/>
                <w:spacing w:val="1"/>
                <w:sz w:val="21"/>
                <w:szCs w:val="21"/>
              </w:rPr>
              <w:t>肉羊产业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3D808BF">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6"/>
                <w:sz w:val="21"/>
                <w:szCs w:val="21"/>
              </w:rPr>
              <w:t>140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4137A51">
            <w:pPr>
              <w:pStyle w:val="9"/>
              <w:keepNext w:val="0"/>
              <w:keepLines w:val="0"/>
              <w:widowControl/>
              <w:suppressLineNumbers w:val="0"/>
              <w:spacing w:before="120" w:beforeAutospacing="0" w:after="0" w:afterAutospacing="1"/>
              <w:ind w:left="540" w:right="0"/>
            </w:pPr>
            <w:r>
              <w:rPr>
                <w:rFonts w:hint="eastAsia" w:ascii="宋体" w:hAnsi="宋体" w:eastAsia="宋体" w:cs="宋体"/>
                <w:color w:val="000000"/>
                <w:spacing w:val="-6"/>
                <w:sz w:val="21"/>
                <w:szCs w:val="21"/>
              </w:rPr>
              <w:t>170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D9E3D40">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3"/>
                <w:sz w:val="21"/>
                <w:szCs w:val="21"/>
              </w:rPr>
              <w:t>200</w:t>
            </w:r>
          </w:p>
        </w:tc>
      </w:tr>
      <w:tr w14:paraId="196E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431DB9F6">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3F20EE6">
            <w:pPr>
              <w:pStyle w:val="9"/>
              <w:keepNext w:val="0"/>
              <w:keepLines w:val="0"/>
              <w:widowControl/>
              <w:suppressLineNumbers w:val="0"/>
              <w:spacing w:before="105" w:beforeAutospacing="0" w:after="0" w:afterAutospacing="1"/>
              <w:ind w:left="885" w:right="0"/>
            </w:pPr>
            <w:r>
              <w:rPr>
                <w:rFonts w:hint="eastAsia" w:ascii="宋体" w:hAnsi="宋体" w:eastAsia="宋体" w:cs="宋体"/>
                <w:color w:val="000000"/>
                <w:spacing w:val="1"/>
                <w:sz w:val="21"/>
                <w:szCs w:val="21"/>
              </w:rPr>
              <w:t>马铃薯产业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2EB50C8">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4"/>
                <w:sz w:val="21"/>
                <w:szCs w:val="21"/>
              </w:rPr>
              <w:t>75</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3CE4B48">
            <w:pPr>
              <w:pStyle w:val="9"/>
              <w:keepNext w:val="0"/>
              <w:keepLines w:val="0"/>
              <w:widowControl/>
              <w:suppressLineNumbers w:val="0"/>
              <w:spacing w:before="120" w:beforeAutospacing="0" w:after="0" w:afterAutospacing="1"/>
              <w:ind w:left="585" w:right="0"/>
            </w:pPr>
            <w:r>
              <w:rPr>
                <w:rFonts w:hint="eastAsia" w:ascii="宋体" w:hAnsi="宋体" w:eastAsia="宋体" w:cs="宋体"/>
                <w:color w:val="000000"/>
                <w:spacing w:val="-3"/>
                <w:sz w:val="21"/>
                <w:szCs w:val="21"/>
              </w:rPr>
              <w:t>85</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5456E21">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6"/>
                <w:sz w:val="21"/>
                <w:szCs w:val="21"/>
              </w:rPr>
              <w:t>100</w:t>
            </w:r>
          </w:p>
        </w:tc>
      </w:tr>
      <w:tr w14:paraId="3FC6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02C79B01">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B02B054">
            <w:pPr>
              <w:pStyle w:val="9"/>
              <w:keepNext w:val="0"/>
              <w:keepLines w:val="0"/>
              <w:widowControl/>
              <w:suppressLineNumbers w:val="0"/>
              <w:spacing w:before="105" w:beforeAutospacing="0" w:after="0" w:afterAutospacing="1"/>
              <w:ind w:left="885" w:right="0"/>
            </w:pPr>
            <w:r>
              <w:rPr>
                <w:rFonts w:hint="eastAsia" w:ascii="宋体" w:hAnsi="宋体" w:eastAsia="宋体" w:cs="宋体"/>
                <w:color w:val="000000"/>
                <w:spacing w:val="-2"/>
                <w:sz w:val="21"/>
                <w:szCs w:val="21"/>
              </w:rPr>
              <w:t>乳制品产业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2F3EE1C">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3"/>
                <w:sz w:val="21"/>
                <w:szCs w:val="21"/>
              </w:rPr>
              <w:t>90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17065E7">
            <w:pPr>
              <w:pStyle w:val="9"/>
              <w:keepNext w:val="0"/>
              <w:keepLines w:val="0"/>
              <w:widowControl/>
              <w:suppressLineNumbers w:val="0"/>
              <w:spacing w:before="120" w:beforeAutospacing="0" w:after="0" w:afterAutospacing="1"/>
              <w:ind w:left="585" w:right="0"/>
            </w:pPr>
            <w:r>
              <w:rPr>
                <w:rFonts w:hint="eastAsia" w:ascii="宋体" w:hAnsi="宋体" w:eastAsia="宋体" w:cs="宋体"/>
                <w:color w:val="000000"/>
                <w:spacing w:val="-3"/>
                <w:sz w:val="21"/>
                <w:szCs w:val="21"/>
              </w:rPr>
              <w:t>95</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42497DE">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6"/>
                <w:sz w:val="21"/>
                <w:szCs w:val="21"/>
              </w:rPr>
              <w:t>100</w:t>
            </w:r>
          </w:p>
        </w:tc>
      </w:tr>
      <w:tr w14:paraId="2C9D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09394FBF">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C19195E">
            <w:pPr>
              <w:pStyle w:val="9"/>
              <w:keepNext w:val="0"/>
              <w:keepLines w:val="0"/>
              <w:widowControl/>
              <w:suppressLineNumbers w:val="0"/>
              <w:spacing w:before="105" w:beforeAutospacing="0" w:after="0" w:afterAutospacing="1"/>
              <w:ind w:left="1200" w:right="0"/>
            </w:pPr>
            <w:r>
              <w:rPr>
                <w:rFonts w:hint="eastAsia" w:ascii="宋体" w:hAnsi="宋体" w:eastAsia="宋体" w:cs="宋体"/>
                <w:color w:val="000000"/>
                <w:spacing w:val="-3"/>
                <w:sz w:val="21"/>
                <w:szCs w:val="21"/>
              </w:rPr>
              <w:t>合计</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AB1734C">
            <w:pPr>
              <w:pStyle w:val="9"/>
              <w:keepNext w:val="0"/>
              <w:keepLines w:val="0"/>
              <w:widowControl/>
              <w:suppressLineNumbers w:val="0"/>
              <w:spacing w:before="120" w:beforeAutospacing="0" w:after="0" w:afterAutospacing="1"/>
              <w:ind w:left="525" w:right="0"/>
            </w:pPr>
            <w:r>
              <w:rPr>
                <w:rFonts w:hint="eastAsia" w:ascii="宋体" w:hAnsi="宋体" w:eastAsia="宋体" w:cs="宋体"/>
                <w:b/>
                <w:bCs/>
                <w:color w:val="000000"/>
                <w:spacing w:val="-4"/>
                <w:sz w:val="21"/>
                <w:szCs w:val="21"/>
              </w:rPr>
              <w:t>455</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07D48E6">
            <w:pPr>
              <w:pStyle w:val="9"/>
              <w:keepNext w:val="0"/>
              <w:keepLines w:val="0"/>
              <w:widowControl/>
              <w:suppressLineNumbers w:val="0"/>
              <w:spacing w:before="120" w:beforeAutospacing="0" w:after="0" w:afterAutospacing="1"/>
              <w:ind w:left="540" w:right="0"/>
            </w:pPr>
            <w:r>
              <w:rPr>
                <w:rFonts w:hint="eastAsia" w:ascii="宋体" w:hAnsi="宋体" w:eastAsia="宋体" w:cs="宋体"/>
                <w:b/>
                <w:bCs/>
                <w:color w:val="000000"/>
                <w:spacing w:val="-5"/>
                <w:sz w:val="21"/>
                <w:szCs w:val="21"/>
              </w:rPr>
              <w:t>520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CF82158">
            <w:pPr>
              <w:pStyle w:val="9"/>
              <w:keepNext w:val="0"/>
              <w:keepLines w:val="0"/>
              <w:widowControl/>
              <w:suppressLineNumbers w:val="0"/>
              <w:spacing w:before="120" w:beforeAutospacing="0" w:after="0" w:afterAutospacing="1"/>
              <w:ind w:left="525" w:right="0"/>
            </w:pPr>
            <w:r>
              <w:rPr>
                <w:rFonts w:hint="eastAsia" w:ascii="宋体" w:hAnsi="宋体" w:eastAsia="宋体" w:cs="宋体"/>
                <w:b/>
                <w:bCs/>
                <w:color w:val="000000"/>
                <w:spacing w:val="-5"/>
                <w:sz w:val="21"/>
                <w:szCs w:val="21"/>
              </w:rPr>
              <w:t>600</w:t>
            </w:r>
          </w:p>
        </w:tc>
      </w:tr>
      <w:tr w14:paraId="054D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2511930E">
            <w:pPr>
              <w:pStyle w:val="9"/>
              <w:keepNext w:val="0"/>
              <w:keepLines w:val="0"/>
              <w:widowControl/>
              <w:suppressLineNumbers w:val="0"/>
              <w:spacing w:before="75" w:beforeAutospacing="0" w:after="0" w:afterAutospacing="1"/>
              <w:ind w:left="135" w:right="0"/>
            </w:pPr>
            <w:r>
              <w:rPr>
                <w:rFonts w:hint="eastAsia" w:ascii="宋体" w:hAnsi="宋体" w:eastAsia="宋体" w:cs="宋体"/>
                <w:color w:val="000000"/>
                <w:spacing w:val="-2"/>
                <w:sz w:val="21"/>
                <w:szCs w:val="21"/>
              </w:rPr>
              <w:t>现代能源产业集群</w:t>
            </w: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4008054">
            <w:pPr>
              <w:pStyle w:val="9"/>
              <w:keepNext w:val="0"/>
              <w:keepLines w:val="0"/>
              <w:widowControl/>
              <w:suppressLineNumbers w:val="0"/>
              <w:spacing w:before="90" w:beforeAutospacing="0" w:after="0" w:afterAutospacing="1"/>
              <w:ind w:left="990" w:right="0"/>
            </w:pPr>
            <w:r>
              <w:rPr>
                <w:rFonts w:hint="eastAsia" w:ascii="宋体" w:hAnsi="宋体" w:eastAsia="宋体" w:cs="宋体"/>
                <w:color w:val="000000"/>
                <w:spacing w:val="-2"/>
                <w:sz w:val="21"/>
                <w:szCs w:val="21"/>
              </w:rPr>
              <w:t>煤炭产业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7E93ECC">
            <w:pPr>
              <w:pStyle w:val="9"/>
              <w:keepNext w:val="0"/>
              <w:keepLines w:val="0"/>
              <w:widowControl/>
              <w:suppressLineNumbers w:val="0"/>
              <w:spacing w:before="105" w:beforeAutospacing="0" w:after="0" w:afterAutospacing="1"/>
              <w:ind w:left="525" w:right="0"/>
            </w:pPr>
            <w:r>
              <w:rPr>
                <w:rFonts w:hint="eastAsia" w:ascii="宋体" w:hAnsi="宋体" w:eastAsia="宋体" w:cs="宋体"/>
                <w:color w:val="000000"/>
                <w:spacing w:val="-3"/>
                <w:sz w:val="21"/>
                <w:szCs w:val="21"/>
              </w:rPr>
              <w:t>360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7E82E01">
            <w:pPr>
              <w:pStyle w:val="9"/>
              <w:keepNext w:val="0"/>
              <w:keepLines w:val="0"/>
              <w:widowControl/>
              <w:suppressLineNumbers w:val="0"/>
              <w:spacing w:before="105" w:beforeAutospacing="0" w:after="0" w:afterAutospacing="1"/>
              <w:ind w:left="540" w:right="0"/>
            </w:pPr>
            <w:r>
              <w:rPr>
                <w:rFonts w:hint="eastAsia" w:ascii="宋体" w:hAnsi="宋体" w:eastAsia="宋体" w:cs="宋体"/>
                <w:color w:val="000000"/>
                <w:spacing w:val="-2"/>
                <w:sz w:val="21"/>
                <w:szCs w:val="21"/>
              </w:rPr>
              <w:t>410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E3CFA9F">
            <w:pPr>
              <w:pStyle w:val="9"/>
              <w:keepNext w:val="0"/>
              <w:keepLines w:val="0"/>
              <w:widowControl/>
              <w:suppressLineNumbers w:val="0"/>
              <w:spacing w:before="105" w:beforeAutospacing="0" w:after="0" w:afterAutospacing="1"/>
              <w:ind w:left="525" w:right="0"/>
            </w:pPr>
            <w:r>
              <w:rPr>
                <w:rFonts w:hint="eastAsia" w:ascii="宋体" w:hAnsi="宋体" w:eastAsia="宋体" w:cs="宋体"/>
                <w:color w:val="000000"/>
                <w:spacing w:val="-2"/>
                <w:sz w:val="21"/>
                <w:szCs w:val="21"/>
              </w:rPr>
              <w:t>480</w:t>
            </w:r>
          </w:p>
        </w:tc>
      </w:tr>
      <w:tr w14:paraId="0BF7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2A2CAA87">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C1C1BD7">
            <w:pPr>
              <w:pStyle w:val="9"/>
              <w:keepNext w:val="0"/>
              <w:keepLines w:val="0"/>
              <w:widowControl/>
              <w:suppressLineNumbers w:val="0"/>
              <w:spacing w:before="105" w:beforeAutospacing="0" w:after="0" w:afterAutospacing="1"/>
              <w:ind w:left="990" w:right="0"/>
            </w:pPr>
            <w:r>
              <w:rPr>
                <w:rFonts w:hint="eastAsia" w:ascii="宋体" w:hAnsi="宋体" w:eastAsia="宋体" w:cs="宋体"/>
                <w:color w:val="000000"/>
                <w:spacing w:val="-2"/>
                <w:sz w:val="21"/>
                <w:szCs w:val="21"/>
              </w:rPr>
              <w:t>煤电产业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14602D6">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3"/>
                <w:sz w:val="21"/>
                <w:szCs w:val="21"/>
              </w:rPr>
              <w:t>220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7CCF3A1">
            <w:pPr>
              <w:pStyle w:val="9"/>
              <w:keepNext w:val="0"/>
              <w:keepLines w:val="0"/>
              <w:widowControl/>
              <w:suppressLineNumbers w:val="0"/>
              <w:spacing w:before="120" w:beforeAutospacing="0" w:after="0" w:afterAutospacing="1"/>
              <w:ind w:left="540" w:right="0"/>
            </w:pPr>
            <w:r>
              <w:rPr>
                <w:rFonts w:hint="eastAsia" w:ascii="宋体" w:hAnsi="宋体" w:eastAsia="宋体" w:cs="宋体"/>
                <w:color w:val="000000"/>
                <w:spacing w:val="-3"/>
                <w:sz w:val="21"/>
                <w:szCs w:val="21"/>
              </w:rPr>
              <w:t>240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DF7C554">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3"/>
                <w:sz w:val="21"/>
                <w:szCs w:val="21"/>
              </w:rPr>
              <w:t>260</w:t>
            </w:r>
          </w:p>
        </w:tc>
      </w:tr>
      <w:tr w14:paraId="621E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5BFAFE47">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87EDDDB">
            <w:pPr>
              <w:pStyle w:val="9"/>
              <w:keepNext w:val="0"/>
              <w:keepLines w:val="0"/>
              <w:widowControl/>
              <w:suppressLineNumbers w:val="0"/>
              <w:spacing w:before="105" w:beforeAutospacing="0" w:after="0" w:afterAutospacing="1"/>
              <w:ind w:left="675" w:right="0"/>
            </w:pPr>
            <w:r>
              <w:rPr>
                <w:rFonts w:hint="eastAsia" w:ascii="宋体" w:hAnsi="宋体" w:eastAsia="宋体" w:cs="宋体"/>
                <w:color w:val="000000"/>
                <w:spacing w:val="-2"/>
                <w:sz w:val="21"/>
                <w:szCs w:val="21"/>
              </w:rPr>
              <w:t>新能源发电产业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CE56371">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6"/>
                <w:sz w:val="21"/>
                <w:szCs w:val="21"/>
              </w:rPr>
              <w:t>110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C27EA65">
            <w:pPr>
              <w:pStyle w:val="9"/>
              <w:keepNext w:val="0"/>
              <w:keepLines w:val="0"/>
              <w:widowControl/>
              <w:suppressLineNumbers w:val="0"/>
              <w:spacing w:before="120" w:beforeAutospacing="0" w:after="0" w:afterAutospacing="1"/>
              <w:ind w:left="540" w:right="0"/>
            </w:pPr>
            <w:r>
              <w:rPr>
                <w:rFonts w:hint="eastAsia" w:ascii="宋体" w:hAnsi="宋体" w:eastAsia="宋体" w:cs="宋体"/>
                <w:color w:val="000000"/>
                <w:spacing w:val="-6"/>
                <w:sz w:val="21"/>
                <w:szCs w:val="21"/>
              </w:rPr>
              <w:t>170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C17DD4C">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3"/>
                <w:sz w:val="21"/>
                <w:szCs w:val="21"/>
              </w:rPr>
              <w:t>210</w:t>
            </w:r>
          </w:p>
        </w:tc>
      </w:tr>
      <w:tr w14:paraId="60F9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4204EBA6">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3E44C39">
            <w:pPr>
              <w:pStyle w:val="9"/>
              <w:keepNext w:val="0"/>
              <w:keepLines w:val="0"/>
              <w:widowControl/>
              <w:suppressLineNumbers w:val="0"/>
              <w:spacing w:before="105" w:beforeAutospacing="0" w:after="0" w:afterAutospacing="1"/>
              <w:ind w:left="990" w:right="0"/>
            </w:pPr>
            <w:r>
              <w:rPr>
                <w:rFonts w:hint="eastAsia" w:ascii="宋体" w:hAnsi="宋体" w:eastAsia="宋体" w:cs="宋体"/>
                <w:color w:val="000000"/>
                <w:spacing w:val="-2"/>
                <w:sz w:val="21"/>
                <w:szCs w:val="21"/>
              </w:rPr>
              <w:t>储能产业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E2E41FD">
            <w:pPr>
              <w:pStyle w:val="9"/>
              <w:keepNext w:val="0"/>
              <w:keepLines w:val="0"/>
              <w:widowControl/>
              <w:suppressLineNumbers w:val="0"/>
              <w:spacing w:before="30" w:beforeAutospacing="0"/>
              <w:ind w:left="570"/>
              <w:jc w:val="left"/>
            </w:pPr>
            <w:r>
              <w:rPr>
                <w:rFonts w:ascii="Arial" w:hAnsi="Arial" w:cs="Arial"/>
                <w:color w:val="000000"/>
                <w:sz w:val="21"/>
                <w:szCs w:val="21"/>
                <w:u w:val="single"/>
                <w:vertAlign w:val="baseline"/>
              </w:rPr>
              <w:t> </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9FBAED4">
            <w:pPr>
              <w:pStyle w:val="9"/>
              <w:keepNext w:val="0"/>
              <w:keepLines w:val="0"/>
              <w:widowControl/>
              <w:suppressLineNumbers w:val="0"/>
              <w:spacing w:before="30" w:beforeAutospacing="0"/>
              <w:ind w:left="585"/>
              <w:jc w:val="left"/>
            </w:pPr>
            <w:r>
              <w:rPr>
                <w:rFonts w:hint="default" w:ascii="Arial" w:hAnsi="Arial" w:cs="Arial"/>
                <w:color w:val="000000"/>
                <w:sz w:val="21"/>
                <w:szCs w:val="21"/>
                <w:u w:val="single"/>
                <w:vertAlign w:val="baseline"/>
              </w:rPr>
              <w:t> </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A2432DF">
            <w:pPr>
              <w:pStyle w:val="9"/>
              <w:keepNext w:val="0"/>
              <w:keepLines w:val="0"/>
              <w:widowControl/>
              <w:suppressLineNumbers w:val="0"/>
              <w:spacing w:before="30" w:beforeAutospacing="0"/>
              <w:ind w:left="570"/>
              <w:jc w:val="left"/>
            </w:pPr>
            <w:r>
              <w:rPr>
                <w:rFonts w:hint="default" w:ascii="Arial" w:hAnsi="Arial" w:cs="Arial"/>
                <w:color w:val="000000"/>
                <w:sz w:val="21"/>
                <w:szCs w:val="21"/>
                <w:u w:val="single"/>
                <w:vertAlign w:val="baseline"/>
              </w:rPr>
              <w:t> </w:t>
            </w:r>
          </w:p>
        </w:tc>
      </w:tr>
      <w:tr w14:paraId="65DC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6C3F0E98">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7C7CE86">
            <w:pPr>
              <w:pStyle w:val="9"/>
              <w:keepNext w:val="0"/>
              <w:keepLines w:val="0"/>
              <w:widowControl/>
              <w:suppressLineNumbers w:val="0"/>
              <w:spacing w:before="105" w:beforeAutospacing="0" w:after="0" w:afterAutospacing="1"/>
              <w:ind w:left="1200" w:right="0"/>
            </w:pPr>
            <w:r>
              <w:rPr>
                <w:rFonts w:hint="eastAsia" w:ascii="宋体" w:hAnsi="宋体" w:eastAsia="宋体" w:cs="宋体"/>
                <w:color w:val="000000"/>
                <w:spacing w:val="-3"/>
                <w:sz w:val="21"/>
                <w:szCs w:val="21"/>
              </w:rPr>
              <w:t>合计</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FEC5B33">
            <w:pPr>
              <w:pStyle w:val="9"/>
              <w:keepNext w:val="0"/>
              <w:keepLines w:val="0"/>
              <w:widowControl/>
              <w:suppressLineNumbers w:val="0"/>
              <w:spacing w:before="120" w:beforeAutospacing="0" w:after="0" w:afterAutospacing="1"/>
              <w:ind w:left="525" w:right="0"/>
            </w:pPr>
            <w:r>
              <w:rPr>
                <w:rFonts w:hint="eastAsia" w:ascii="宋体" w:hAnsi="宋体" w:eastAsia="宋体" w:cs="宋体"/>
                <w:b/>
                <w:bCs/>
                <w:color w:val="000000"/>
                <w:spacing w:val="-5"/>
                <w:sz w:val="21"/>
                <w:szCs w:val="21"/>
              </w:rPr>
              <w:t>690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AD4EE53">
            <w:pPr>
              <w:pStyle w:val="9"/>
              <w:keepNext w:val="0"/>
              <w:keepLines w:val="0"/>
              <w:widowControl/>
              <w:suppressLineNumbers w:val="0"/>
              <w:spacing w:before="120" w:beforeAutospacing="0" w:after="0" w:afterAutospacing="1"/>
              <w:ind w:left="540" w:right="0"/>
            </w:pPr>
            <w:r>
              <w:rPr>
                <w:rFonts w:hint="eastAsia" w:ascii="宋体" w:hAnsi="宋体" w:eastAsia="宋体" w:cs="宋体"/>
                <w:b/>
                <w:bCs/>
                <w:color w:val="000000"/>
                <w:spacing w:val="-5"/>
                <w:sz w:val="21"/>
                <w:szCs w:val="21"/>
              </w:rPr>
              <w:t>820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36901E9">
            <w:pPr>
              <w:pStyle w:val="9"/>
              <w:keepNext w:val="0"/>
              <w:keepLines w:val="0"/>
              <w:widowControl/>
              <w:suppressLineNumbers w:val="0"/>
              <w:spacing w:before="120" w:beforeAutospacing="0" w:after="0" w:afterAutospacing="1"/>
              <w:ind w:left="525" w:right="0"/>
            </w:pPr>
            <w:r>
              <w:rPr>
                <w:rFonts w:hint="eastAsia" w:ascii="宋体" w:hAnsi="宋体" w:eastAsia="宋体" w:cs="宋体"/>
                <w:b/>
                <w:bCs/>
                <w:color w:val="000000"/>
                <w:spacing w:val="-5"/>
                <w:sz w:val="21"/>
                <w:szCs w:val="21"/>
              </w:rPr>
              <w:t>950</w:t>
            </w:r>
          </w:p>
        </w:tc>
      </w:tr>
      <w:tr w14:paraId="3E2F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9E75132">
            <w:pPr>
              <w:pStyle w:val="9"/>
              <w:keepNext w:val="0"/>
              <w:keepLines w:val="0"/>
              <w:widowControl/>
              <w:suppressLineNumbers w:val="0"/>
              <w:spacing w:before="120" w:beforeAutospacing="0" w:after="0" w:afterAutospacing="1"/>
              <w:ind w:left="555" w:right="360" w:hanging="209"/>
            </w:pPr>
            <w:r>
              <w:rPr>
                <w:rFonts w:hint="eastAsia" w:ascii="宋体" w:hAnsi="宋体" w:eastAsia="宋体" w:cs="宋体"/>
                <w:color w:val="000000"/>
                <w:spacing w:val="-2"/>
                <w:sz w:val="21"/>
                <w:szCs w:val="21"/>
              </w:rPr>
              <w:t>现代装备制造</w:t>
            </w:r>
            <w:r>
              <w:t> </w:t>
            </w:r>
            <w:r>
              <w:rPr>
                <w:rFonts w:hint="eastAsia" w:ascii="宋体" w:hAnsi="宋体" w:eastAsia="宋体" w:cs="宋体"/>
                <w:color w:val="000000"/>
                <w:spacing w:val="-2"/>
                <w:sz w:val="21"/>
                <w:szCs w:val="21"/>
              </w:rPr>
              <w:t>产业集群</w:t>
            </w: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D690333">
            <w:pPr>
              <w:pStyle w:val="9"/>
              <w:keepNext w:val="0"/>
              <w:keepLines w:val="0"/>
              <w:widowControl/>
              <w:suppressLineNumbers w:val="0"/>
              <w:spacing w:before="240" w:beforeAutospacing="0" w:after="0" w:afterAutospacing="1"/>
              <w:ind w:left="570" w:right="0"/>
            </w:pPr>
            <w:r>
              <w:rPr>
                <w:rFonts w:hint="eastAsia" w:ascii="宋体" w:hAnsi="宋体" w:eastAsia="宋体" w:cs="宋体"/>
                <w:color w:val="000000"/>
                <w:spacing w:val="-2"/>
                <w:sz w:val="21"/>
                <w:szCs w:val="21"/>
              </w:rPr>
              <w:t>现代装备制造产业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63DA44F">
            <w:pPr>
              <w:pStyle w:val="9"/>
              <w:keepNext w:val="0"/>
              <w:keepLines w:val="0"/>
              <w:widowControl/>
              <w:suppressLineNumbers w:val="0"/>
              <w:spacing w:before="255" w:beforeAutospacing="0" w:after="0" w:afterAutospacing="1"/>
              <w:ind w:left="570" w:right="0"/>
            </w:pPr>
            <w:r>
              <w:rPr>
                <w:rFonts w:hint="eastAsia" w:ascii="宋体" w:hAnsi="宋体" w:eastAsia="宋体" w:cs="宋体"/>
                <w:color w:val="000000"/>
                <w:spacing w:val="-4"/>
                <w:sz w:val="21"/>
                <w:szCs w:val="21"/>
              </w:rPr>
              <w:t>70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E651437">
            <w:pPr>
              <w:pStyle w:val="9"/>
              <w:keepNext w:val="0"/>
              <w:keepLines w:val="0"/>
              <w:widowControl/>
              <w:suppressLineNumbers w:val="0"/>
              <w:spacing w:before="255" w:beforeAutospacing="0" w:after="0" w:afterAutospacing="1"/>
              <w:ind w:left="540" w:right="0"/>
            </w:pPr>
            <w:r>
              <w:rPr>
                <w:rFonts w:hint="eastAsia" w:ascii="宋体" w:hAnsi="宋体" w:eastAsia="宋体" w:cs="宋体"/>
                <w:b/>
                <w:bCs/>
                <w:color w:val="000000"/>
                <w:spacing w:val="-8"/>
                <w:sz w:val="21"/>
                <w:szCs w:val="21"/>
              </w:rPr>
              <w:t>135</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4530F6D">
            <w:pPr>
              <w:pStyle w:val="9"/>
              <w:keepNext w:val="0"/>
              <w:keepLines w:val="0"/>
              <w:widowControl/>
              <w:suppressLineNumbers w:val="0"/>
              <w:spacing w:before="255" w:beforeAutospacing="0" w:after="0" w:afterAutospacing="1"/>
              <w:ind w:left="525" w:right="0"/>
            </w:pPr>
            <w:r>
              <w:rPr>
                <w:rFonts w:hint="eastAsia" w:ascii="宋体" w:hAnsi="宋体" w:eastAsia="宋体" w:cs="宋体"/>
                <w:color w:val="000000"/>
                <w:spacing w:val="-3"/>
                <w:sz w:val="21"/>
                <w:szCs w:val="21"/>
              </w:rPr>
              <w:t>260</w:t>
            </w:r>
          </w:p>
        </w:tc>
      </w:tr>
      <w:tr w14:paraId="07DF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470A6978">
            <w:pPr>
              <w:pStyle w:val="9"/>
              <w:keepNext w:val="0"/>
              <w:keepLines w:val="0"/>
              <w:widowControl/>
              <w:suppressLineNumbers w:val="0"/>
              <w:spacing w:before="75" w:beforeAutospacing="0" w:after="0" w:afterAutospacing="1"/>
              <w:ind w:left="555" w:right="285" w:hanging="270"/>
            </w:pPr>
            <w:r>
              <w:rPr>
                <w:rFonts w:hint="eastAsia" w:ascii="宋体" w:hAnsi="宋体" w:eastAsia="宋体" w:cs="宋体"/>
                <w:color w:val="000000"/>
                <w:spacing w:val="2"/>
                <w:sz w:val="21"/>
                <w:szCs w:val="21"/>
              </w:rPr>
              <w:t>绿电+先进载能</w:t>
            </w:r>
            <w:r>
              <w:t> </w:t>
            </w:r>
            <w:r>
              <w:rPr>
                <w:rFonts w:hint="eastAsia" w:ascii="宋体" w:hAnsi="宋体" w:eastAsia="宋体" w:cs="宋体"/>
                <w:color w:val="000000"/>
                <w:spacing w:val="-2"/>
                <w:sz w:val="21"/>
                <w:szCs w:val="21"/>
              </w:rPr>
              <w:t>产业集群</w:t>
            </w: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9CBAD5B">
            <w:pPr>
              <w:pStyle w:val="9"/>
              <w:keepNext w:val="0"/>
              <w:keepLines w:val="0"/>
              <w:widowControl/>
              <w:suppressLineNumbers w:val="0"/>
              <w:spacing w:before="105" w:beforeAutospacing="0" w:after="0" w:afterAutospacing="1"/>
              <w:ind w:left="615" w:right="0"/>
            </w:pPr>
            <w:r>
              <w:rPr>
                <w:rFonts w:hint="eastAsia" w:ascii="宋体" w:hAnsi="宋体" w:eastAsia="宋体" w:cs="宋体"/>
                <w:color w:val="000000"/>
                <w:spacing w:val="-2"/>
                <w:sz w:val="21"/>
                <w:szCs w:val="21"/>
              </w:rPr>
              <w:t>绿电+铁合金产业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DB1AA26">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3"/>
                <w:sz w:val="21"/>
                <w:szCs w:val="21"/>
              </w:rPr>
              <w:t>20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BBD82EA">
            <w:pPr>
              <w:pStyle w:val="9"/>
              <w:keepNext w:val="0"/>
              <w:keepLines w:val="0"/>
              <w:widowControl/>
              <w:suppressLineNumbers w:val="0"/>
              <w:spacing w:before="120" w:beforeAutospacing="0" w:after="0" w:afterAutospacing="1"/>
              <w:ind w:left="540" w:right="0"/>
            </w:pPr>
            <w:r>
              <w:rPr>
                <w:rFonts w:hint="eastAsia" w:ascii="宋体" w:hAnsi="宋体" w:eastAsia="宋体" w:cs="宋体"/>
                <w:color w:val="000000"/>
                <w:spacing w:val="-3"/>
                <w:sz w:val="21"/>
                <w:szCs w:val="21"/>
              </w:rPr>
              <w:t>200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6BCDE73">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3"/>
                <w:sz w:val="21"/>
                <w:szCs w:val="21"/>
              </w:rPr>
              <w:t>500</w:t>
            </w:r>
          </w:p>
        </w:tc>
      </w:tr>
      <w:tr w14:paraId="2039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16D72DEE">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AB72474">
            <w:pPr>
              <w:pStyle w:val="9"/>
              <w:keepNext w:val="0"/>
              <w:keepLines w:val="0"/>
              <w:widowControl/>
              <w:suppressLineNumbers w:val="0"/>
              <w:spacing w:before="105" w:beforeAutospacing="0" w:after="0" w:afterAutospacing="1"/>
              <w:ind w:left="825" w:right="0"/>
            </w:pPr>
            <w:r>
              <w:rPr>
                <w:rFonts w:hint="eastAsia" w:ascii="宋体" w:hAnsi="宋体" w:eastAsia="宋体" w:cs="宋体"/>
                <w:color w:val="000000"/>
                <w:spacing w:val="-2"/>
                <w:sz w:val="21"/>
                <w:szCs w:val="21"/>
              </w:rPr>
              <w:t>绿电+铝产业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E0351B6">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6"/>
                <w:sz w:val="21"/>
                <w:szCs w:val="21"/>
              </w:rPr>
              <w:t>140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9503782">
            <w:pPr>
              <w:pStyle w:val="9"/>
              <w:keepNext w:val="0"/>
              <w:keepLines w:val="0"/>
              <w:widowControl/>
              <w:suppressLineNumbers w:val="0"/>
              <w:spacing w:before="120" w:beforeAutospacing="0" w:after="0" w:afterAutospacing="1"/>
              <w:ind w:left="540" w:right="0"/>
            </w:pPr>
            <w:r>
              <w:rPr>
                <w:rFonts w:hint="eastAsia" w:ascii="宋体" w:hAnsi="宋体" w:eastAsia="宋体" w:cs="宋体"/>
                <w:color w:val="000000"/>
                <w:spacing w:val="-6"/>
                <w:sz w:val="21"/>
                <w:szCs w:val="21"/>
              </w:rPr>
              <w:t>150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966AD0A">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3"/>
                <w:sz w:val="21"/>
                <w:szCs w:val="21"/>
              </w:rPr>
              <w:t>280</w:t>
            </w:r>
          </w:p>
        </w:tc>
      </w:tr>
      <w:tr w14:paraId="429E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66BC8343">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98E2027">
            <w:pPr>
              <w:pStyle w:val="9"/>
              <w:keepNext w:val="0"/>
              <w:keepLines w:val="0"/>
              <w:widowControl/>
              <w:suppressLineNumbers w:val="0"/>
              <w:spacing w:before="105" w:beforeAutospacing="0" w:after="0" w:afterAutospacing="1"/>
              <w:ind w:left="615" w:right="0"/>
            </w:pPr>
            <w:r>
              <w:rPr>
                <w:rFonts w:hint="eastAsia" w:ascii="宋体" w:hAnsi="宋体" w:eastAsia="宋体" w:cs="宋体"/>
                <w:color w:val="000000"/>
                <w:spacing w:val="-2"/>
                <w:sz w:val="21"/>
                <w:szCs w:val="21"/>
              </w:rPr>
              <w:t>绿电+氢氨醇产业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38F4569">
            <w:pPr>
              <w:pStyle w:val="9"/>
              <w:keepNext w:val="0"/>
              <w:keepLines w:val="0"/>
              <w:widowControl/>
              <w:suppressLineNumbers w:val="0"/>
              <w:spacing w:before="120" w:beforeAutospacing="0" w:after="0" w:afterAutospacing="1"/>
              <w:ind w:left="630" w:right="0"/>
            </w:pPr>
            <w:r>
              <w:rPr>
                <w:rFonts w:hint="eastAsia" w:ascii="宋体" w:hAnsi="宋体" w:eastAsia="宋体" w:cs="宋体"/>
                <w:color w:val="000000"/>
                <w:sz w:val="21"/>
                <w:szCs w:val="21"/>
              </w:rPr>
              <w:t>1</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D47C5EA">
            <w:pPr>
              <w:pStyle w:val="9"/>
              <w:keepNext w:val="0"/>
              <w:keepLines w:val="0"/>
              <w:widowControl/>
              <w:suppressLineNumbers w:val="0"/>
              <w:spacing w:before="120" w:beforeAutospacing="0" w:after="0" w:afterAutospacing="1"/>
              <w:ind w:left="585" w:right="0"/>
            </w:pPr>
            <w:r>
              <w:rPr>
                <w:rFonts w:hint="eastAsia" w:ascii="宋体" w:hAnsi="宋体" w:eastAsia="宋体" w:cs="宋体"/>
                <w:color w:val="000000"/>
                <w:spacing w:val="-6"/>
                <w:sz w:val="21"/>
                <w:szCs w:val="21"/>
              </w:rPr>
              <w:t>18</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4DA62C7">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4"/>
                <w:sz w:val="21"/>
                <w:szCs w:val="21"/>
              </w:rPr>
              <w:t>30</w:t>
            </w:r>
          </w:p>
        </w:tc>
      </w:tr>
      <w:tr w14:paraId="1CE9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5001D652">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0A6B14F">
            <w:pPr>
              <w:pStyle w:val="9"/>
              <w:keepNext w:val="0"/>
              <w:keepLines w:val="0"/>
              <w:widowControl/>
              <w:suppressLineNumbers w:val="0"/>
              <w:spacing w:before="105" w:beforeAutospacing="0" w:after="0" w:afterAutospacing="1"/>
              <w:ind w:left="1200" w:right="0"/>
            </w:pPr>
            <w:r>
              <w:rPr>
                <w:rFonts w:hint="eastAsia" w:ascii="宋体" w:hAnsi="宋体" w:eastAsia="宋体" w:cs="宋体"/>
                <w:color w:val="000000"/>
                <w:spacing w:val="-3"/>
                <w:sz w:val="21"/>
                <w:szCs w:val="21"/>
              </w:rPr>
              <w:t>合计</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B4B6E50">
            <w:pPr>
              <w:pStyle w:val="9"/>
              <w:keepNext w:val="0"/>
              <w:keepLines w:val="0"/>
              <w:widowControl/>
              <w:suppressLineNumbers w:val="0"/>
              <w:spacing w:before="120" w:beforeAutospacing="0" w:after="0" w:afterAutospacing="1"/>
              <w:ind w:left="525" w:right="0"/>
            </w:pPr>
            <w:r>
              <w:rPr>
                <w:rFonts w:hint="eastAsia" w:ascii="宋体" w:hAnsi="宋体" w:eastAsia="宋体" w:cs="宋体"/>
                <w:b/>
                <w:bCs/>
                <w:color w:val="000000"/>
                <w:spacing w:val="-8"/>
                <w:sz w:val="21"/>
                <w:szCs w:val="21"/>
              </w:rPr>
              <w:t>161</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2BF5123">
            <w:pPr>
              <w:pStyle w:val="9"/>
              <w:keepNext w:val="0"/>
              <w:keepLines w:val="0"/>
              <w:widowControl/>
              <w:suppressLineNumbers w:val="0"/>
              <w:spacing w:before="120" w:beforeAutospacing="0" w:after="0" w:afterAutospacing="1"/>
              <w:ind w:left="540" w:right="0"/>
            </w:pPr>
            <w:r>
              <w:rPr>
                <w:rFonts w:hint="eastAsia" w:ascii="宋体" w:hAnsi="宋体" w:eastAsia="宋体" w:cs="宋体"/>
                <w:b/>
                <w:bCs/>
                <w:color w:val="000000"/>
                <w:spacing w:val="-5"/>
                <w:sz w:val="21"/>
                <w:szCs w:val="21"/>
              </w:rPr>
              <w:t>368</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09A53EA">
            <w:pPr>
              <w:pStyle w:val="9"/>
              <w:keepNext w:val="0"/>
              <w:keepLines w:val="0"/>
              <w:widowControl/>
              <w:suppressLineNumbers w:val="0"/>
              <w:spacing w:before="120" w:beforeAutospacing="0" w:after="0" w:afterAutospacing="1"/>
              <w:ind w:left="525" w:right="0"/>
            </w:pPr>
            <w:r>
              <w:rPr>
                <w:rFonts w:hint="eastAsia" w:ascii="宋体" w:hAnsi="宋体" w:eastAsia="宋体" w:cs="宋体"/>
                <w:b/>
                <w:bCs/>
                <w:color w:val="000000"/>
                <w:spacing w:val="-5"/>
                <w:sz w:val="21"/>
                <w:szCs w:val="21"/>
              </w:rPr>
              <w:t>810</w:t>
            </w:r>
          </w:p>
        </w:tc>
      </w:tr>
      <w:tr w14:paraId="3294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346DAB23">
            <w:pPr>
              <w:pStyle w:val="9"/>
              <w:keepNext w:val="0"/>
              <w:keepLines w:val="0"/>
              <w:widowControl/>
              <w:suppressLineNumbers w:val="0"/>
              <w:spacing w:before="75" w:beforeAutospacing="0" w:after="0" w:afterAutospacing="1"/>
              <w:ind w:left="135" w:right="0"/>
            </w:pPr>
            <w:r>
              <w:rPr>
                <w:rFonts w:hint="eastAsia" w:ascii="宋体" w:hAnsi="宋体" w:eastAsia="宋体" w:cs="宋体"/>
                <w:color w:val="000000"/>
                <w:spacing w:val="-1"/>
                <w:sz w:val="21"/>
                <w:szCs w:val="21"/>
              </w:rPr>
              <w:t>新型化工产业集群</w:t>
            </w: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5D18C4D">
            <w:pPr>
              <w:pStyle w:val="9"/>
              <w:keepNext w:val="0"/>
              <w:keepLines w:val="0"/>
              <w:widowControl/>
              <w:suppressLineNumbers w:val="0"/>
              <w:spacing w:before="105" w:beforeAutospacing="0" w:after="0" w:afterAutospacing="1"/>
              <w:ind w:left="675" w:right="0"/>
            </w:pPr>
            <w:r>
              <w:rPr>
                <w:rFonts w:hint="eastAsia" w:ascii="宋体" w:hAnsi="宋体" w:eastAsia="宋体" w:cs="宋体"/>
                <w:color w:val="000000"/>
                <w:spacing w:val="-2"/>
                <w:sz w:val="21"/>
                <w:szCs w:val="21"/>
              </w:rPr>
              <w:t>现代煤化工产业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1AABCD0">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2"/>
                <w:sz w:val="21"/>
                <w:szCs w:val="21"/>
              </w:rPr>
              <w:t>45</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1623EF3">
            <w:pPr>
              <w:pStyle w:val="9"/>
              <w:keepNext w:val="0"/>
              <w:keepLines w:val="0"/>
              <w:widowControl/>
              <w:suppressLineNumbers w:val="0"/>
              <w:spacing w:before="120" w:beforeAutospacing="0" w:after="0" w:afterAutospacing="1"/>
              <w:ind w:left="585" w:right="0"/>
            </w:pPr>
            <w:r>
              <w:rPr>
                <w:rFonts w:hint="eastAsia" w:ascii="宋体" w:hAnsi="宋体" w:eastAsia="宋体" w:cs="宋体"/>
                <w:color w:val="000000"/>
                <w:spacing w:val="-4"/>
                <w:sz w:val="21"/>
                <w:szCs w:val="21"/>
              </w:rPr>
              <w:t>70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6C38358">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6"/>
                <w:sz w:val="21"/>
                <w:szCs w:val="21"/>
              </w:rPr>
              <w:t>140</w:t>
            </w:r>
          </w:p>
        </w:tc>
      </w:tr>
      <w:tr w14:paraId="2930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65D9EEB0">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4C29FFF">
            <w:pPr>
              <w:pStyle w:val="9"/>
              <w:keepNext w:val="0"/>
              <w:keepLines w:val="0"/>
              <w:widowControl/>
              <w:suppressLineNumbers w:val="0"/>
              <w:spacing w:before="105" w:beforeAutospacing="0" w:after="0" w:afterAutospacing="1"/>
              <w:ind w:left="885" w:right="0"/>
            </w:pPr>
            <w:r>
              <w:rPr>
                <w:rFonts w:hint="eastAsia" w:ascii="宋体" w:hAnsi="宋体" w:eastAsia="宋体" w:cs="宋体"/>
                <w:color w:val="000000"/>
                <w:spacing w:val="-2"/>
                <w:sz w:val="21"/>
                <w:szCs w:val="21"/>
              </w:rPr>
              <w:t>氟化工产业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73C946A">
            <w:pPr>
              <w:pStyle w:val="9"/>
              <w:keepNext w:val="0"/>
              <w:keepLines w:val="0"/>
              <w:widowControl/>
              <w:suppressLineNumbers w:val="0"/>
              <w:spacing w:before="120" w:beforeAutospacing="0" w:after="0" w:afterAutospacing="1"/>
              <w:ind w:left="630" w:right="0"/>
            </w:pPr>
            <w:r>
              <w:rPr>
                <w:rFonts w:hint="eastAsia" w:ascii="宋体" w:hAnsi="宋体" w:eastAsia="宋体" w:cs="宋体"/>
                <w:color w:val="000000"/>
                <w:sz w:val="21"/>
                <w:szCs w:val="21"/>
              </w:rPr>
              <w:t>5</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DA2A000">
            <w:pPr>
              <w:pStyle w:val="9"/>
              <w:keepNext w:val="0"/>
              <w:keepLines w:val="0"/>
              <w:widowControl/>
              <w:suppressLineNumbers w:val="0"/>
              <w:spacing w:before="120" w:beforeAutospacing="0" w:after="0" w:afterAutospacing="1"/>
              <w:ind w:left="585" w:right="0"/>
            </w:pPr>
            <w:r>
              <w:rPr>
                <w:rFonts w:hint="eastAsia" w:ascii="宋体" w:hAnsi="宋体" w:eastAsia="宋体" w:cs="宋体"/>
                <w:color w:val="000000"/>
                <w:spacing w:val="-4"/>
                <w:sz w:val="21"/>
                <w:szCs w:val="21"/>
              </w:rPr>
              <w:t>50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F1A10FF">
            <w:pPr>
              <w:pStyle w:val="9"/>
              <w:keepNext w:val="0"/>
              <w:keepLines w:val="0"/>
              <w:widowControl/>
              <w:suppressLineNumbers w:val="0"/>
              <w:spacing w:before="120" w:beforeAutospacing="0" w:after="0" w:afterAutospacing="1"/>
              <w:ind w:left="525" w:right="0"/>
            </w:pPr>
            <w:r>
              <w:rPr>
                <w:rFonts w:hint="eastAsia" w:ascii="宋体" w:hAnsi="宋体" w:eastAsia="宋体" w:cs="宋体"/>
                <w:color w:val="000000"/>
                <w:spacing w:val="-2"/>
                <w:sz w:val="21"/>
                <w:szCs w:val="21"/>
              </w:rPr>
              <w:t>400</w:t>
            </w:r>
          </w:p>
        </w:tc>
      </w:tr>
      <w:tr w14:paraId="2814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5A7202C7">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8F6EC4B">
            <w:pPr>
              <w:pStyle w:val="9"/>
              <w:keepNext w:val="0"/>
              <w:keepLines w:val="0"/>
              <w:widowControl/>
              <w:suppressLineNumbers w:val="0"/>
              <w:spacing w:before="105" w:beforeAutospacing="0" w:after="0" w:afterAutospacing="1"/>
              <w:ind w:left="1200" w:right="0"/>
            </w:pPr>
            <w:r>
              <w:rPr>
                <w:rFonts w:hint="eastAsia" w:ascii="宋体" w:hAnsi="宋体" w:eastAsia="宋体" w:cs="宋体"/>
                <w:color w:val="000000"/>
                <w:spacing w:val="-3"/>
                <w:sz w:val="21"/>
                <w:szCs w:val="21"/>
              </w:rPr>
              <w:t>合计</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410B2BA">
            <w:pPr>
              <w:pStyle w:val="9"/>
              <w:keepNext w:val="0"/>
              <w:keepLines w:val="0"/>
              <w:widowControl/>
              <w:suppressLineNumbers w:val="0"/>
              <w:spacing w:before="120" w:beforeAutospacing="0" w:after="0" w:afterAutospacing="1"/>
              <w:ind w:left="570" w:right="0"/>
            </w:pPr>
            <w:r>
              <w:rPr>
                <w:rFonts w:hint="eastAsia" w:ascii="宋体" w:hAnsi="宋体" w:eastAsia="宋体" w:cs="宋体"/>
                <w:b/>
                <w:bCs/>
                <w:color w:val="000000"/>
                <w:spacing w:val="-6"/>
                <w:sz w:val="21"/>
                <w:szCs w:val="21"/>
              </w:rPr>
              <w:t>50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50077C70">
            <w:pPr>
              <w:pStyle w:val="9"/>
              <w:keepNext w:val="0"/>
              <w:keepLines w:val="0"/>
              <w:widowControl/>
              <w:suppressLineNumbers w:val="0"/>
              <w:spacing w:before="120" w:beforeAutospacing="0" w:after="0" w:afterAutospacing="1"/>
              <w:ind w:left="540" w:right="0"/>
            </w:pPr>
            <w:r>
              <w:rPr>
                <w:rFonts w:hint="eastAsia" w:ascii="宋体" w:hAnsi="宋体" w:eastAsia="宋体" w:cs="宋体"/>
                <w:b/>
                <w:bCs/>
                <w:color w:val="000000"/>
                <w:spacing w:val="-8"/>
                <w:sz w:val="21"/>
                <w:szCs w:val="21"/>
              </w:rPr>
              <w:t>120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39404C2">
            <w:pPr>
              <w:pStyle w:val="9"/>
              <w:keepNext w:val="0"/>
              <w:keepLines w:val="0"/>
              <w:widowControl/>
              <w:suppressLineNumbers w:val="0"/>
              <w:spacing w:before="120" w:beforeAutospacing="0" w:after="0" w:afterAutospacing="1"/>
              <w:ind w:left="525" w:right="0"/>
            </w:pPr>
            <w:r>
              <w:rPr>
                <w:rFonts w:hint="eastAsia" w:ascii="宋体" w:hAnsi="宋体" w:eastAsia="宋体" w:cs="宋体"/>
                <w:b/>
                <w:bCs/>
                <w:color w:val="000000"/>
                <w:spacing w:val="-5"/>
                <w:sz w:val="21"/>
                <w:szCs w:val="21"/>
              </w:rPr>
              <w:t>540</w:t>
            </w:r>
          </w:p>
        </w:tc>
      </w:tr>
      <w:tr w14:paraId="5A71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7C8D73E9">
            <w:pPr>
              <w:pStyle w:val="9"/>
              <w:keepNext w:val="0"/>
              <w:keepLines w:val="0"/>
              <w:widowControl/>
              <w:suppressLineNumbers w:val="0"/>
              <w:spacing w:before="75" w:beforeAutospacing="0" w:after="0" w:afterAutospacing="1"/>
              <w:ind w:left="240" w:right="0"/>
            </w:pPr>
            <w:r>
              <w:rPr>
                <w:rFonts w:hint="eastAsia" w:ascii="宋体" w:hAnsi="宋体" w:eastAsia="宋体" w:cs="宋体"/>
                <w:color w:val="000000"/>
                <w:spacing w:val="-2"/>
                <w:sz w:val="21"/>
                <w:szCs w:val="21"/>
              </w:rPr>
              <w:t>新材料产业集群</w:t>
            </w: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BC3697C">
            <w:pPr>
              <w:pStyle w:val="9"/>
              <w:keepNext w:val="0"/>
              <w:keepLines w:val="0"/>
              <w:widowControl/>
              <w:suppressLineNumbers w:val="0"/>
              <w:spacing w:before="90" w:beforeAutospacing="0" w:after="0" w:afterAutospacing="1"/>
              <w:ind w:left="570" w:right="0"/>
            </w:pPr>
            <w:r>
              <w:rPr>
                <w:rFonts w:hint="eastAsia" w:ascii="宋体" w:hAnsi="宋体" w:eastAsia="宋体" w:cs="宋体"/>
                <w:color w:val="000000"/>
                <w:spacing w:val="-2"/>
                <w:sz w:val="21"/>
                <w:szCs w:val="21"/>
              </w:rPr>
              <w:t>先进金属材料产业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F93DE65">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3"/>
                <w:sz w:val="21"/>
                <w:szCs w:val="21"/>
              </w:rPr>
              <w:t>25</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AF80C4C">
            <w:pPr>
              <w:pStyle w:val="9"/>
              <w:keepNext w:val="0"/>
              <w:keepLines w:val="0"/>
              <w:widowControl/>
              <w:suppressLineNumbers w:val="0"/>
              <w:spacing w:before="120" w:beforeAutospacing="0" w:after="0" w:afterAutospacing="1"/>
              <w:ind w:left="585" w:right="0"/>
            </w:pPr>
            <w:r>
              <w:rPr>
                <w:rFonts w:hint="eastAsia" w:ascii="宋体" w:hAnsi="宋体" w:eastAsia="宋体" w:cs="宋体"/>
                <w:color w:val="000000"/>
                <w:spacing w:val="-2"/>
                <w:sz w:val="21"/>
                <w:szCs w:val="21"/>
              </w:rPr>
              <w:t>40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7E1FA2C">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4"/>
                <w:sz w:val="21"/>
                <w:szCs w:val="21"/>
              </w:rPr>
              <w:t>70</w:t>
            </w:r>
          </w:p>
        </w:tc>
      </w:tr>
      <w:tr w14:paraId="1500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533C1799">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D37B529">
            <w:pPr>
              <w:pStyle w:val="9"/>
              <w:keepNext w:val="0"/>
              <w:keepLines w:val="0"/>
              <w:widowControl/>
              <w:suppressLineNumbers w:val="0"/>
              <w:spacing w:before="105" w:beforeAutospacing="0" w:after="0" w:afterAutospacing="1"/>
              <w:ind w:left="990" w:right="0"/>
            </w:pPr>
            <w:r>
              <w:rPr>
                <w:rFonts w:hint="eastAsia" w:ascii="宋体" w:hAnsi="宋体" w:eastAsia="宋体" w:cs="宋体"/>
                <w:color w:val="000000"/>
                <w:spacing w:val="-2"/>
                <w:sz w:val="21"/>
                <w:szCs w:val="21"/>
              </w:rPr>
              <w:t>锂电产业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72577BD">
            <w:pPr>
              <w:pStyle w:val="9"/>
              <w:keepNext w:val="0"/>
              <w:keepLines w:val="0"/>
              <w:widowControl/>
              <w:suppressLineNumbers w:val="0"/>
              <w:spacing w:before="135" w:beforeAutospacing="0" w:after="0" w:afterAutospacing="1"/>
              <w:ind w:left="570" w:right="0"/>
            </w:pPr>
            <w:r>
              <w:rPr>
                <w:rFonts w:hint="eastAsia" w:ascii="宋体" w:hAnsi="宋体" w:eastAsia="宋体" w:cs="宋体"/>
                <w:color w:val="000000"/>
                <w:spacing w:val="-6"/>
                <w:sz w:val="21"/>
                <w:szCs w:val="21"/>
              </w:rPr>
              <w:t>10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23A8044">
            <w:pPr>
              <w:pStyle w:val="9"/>
              <w:keepNext w:val="0"/>
              <w:keepLines w:val="0"/>
              <w:widowControl/>
              <w:suppressLineNumbers w:val="0"/>
              <w:spacing w:before="135" w:beforeAutospacing="0" w:after="0" w:afterAutospacing="1"/>
              <w:ind w:left="585" w:right="0"/>
            </w:pPr>
            <w:r>
              <w:rPr>
                <w:rFonts w:hint="eastAsia" w:ascii="宋体" w:hAnsi="宋体" w:eastAsia="宋体" w:cs="宋体"/>
                <w:color w:val="000000"/>
                <w:spacing w:val="-3"/>
                <w:sz w:val="21"/>
                <w:szCs w:val="21"/>
              </w:rPr>
              <w:t>60</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02D70D8">
            <w:pPr>
              <w:pStyle w:val="9"/>
              <w:keepNext w:val="0"/>
              <w:keepLines w:val="0"/>
              <w:widowControl/>
              <w:suppressLineNumbers w:val="0"/>
              <w:spacing w:before="135" w:beforeAutospacing="0" w:after="0" w:afterAutospacing="1"/>
              <w:ind w:left="525" w:right="0"/>
            </w:pPr>
            <w:r>
              <w:rPr>
                <w:rFonts w:hint="eastAsia" w:ascii="宋体" w:hAnsi="宋体" w:eastAsia="宋体" w:cs="宋体"/>
                <w:color w:val="000000"/>
                <w:spacing w:val="-6"/>
                <w:sz w:val="21"/>
                <w:szCs w:val="21"/>
              </w:rPr>
              <w:t>120</w:t>
            </w:r>
          </w:p>
        </w:tc>
      </w:tr>
      <w:tr w14:paraId="1CB4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2F987318">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2EED606">
            <w:pPr>
              <w:pStyle w:val="9"/>
              <w:keepNext w:val="0"/>
              <w:keepLines w:val="0"/>
              <w:widowControl/>
              <w:suppressLineNumbers w:val="0"/>
              <w:spacing w:before="90" w:beforeAutospacing="0" w:after="0" w:afterAutospacing="1"/>
              <w:ind w:left="675" w:right="0"/>
            </w:pPr>
            <w:r>
              <w:rPr>
                <w:rFonts w:hint="eastAsia" w:ascii="宋体" w:hAnsi="宋体" w:eastAsia="宋体" w:cs="宋体"/>
                <w:color w:val="000000"/>
                <w:spacing w:val="-2"/>
                <w:sz w:val="21"/>
                <w:szCs w:val="21"/>
              </w:rPr>
              <w:t>先进碳材料产业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74A95A3">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6"/>
                <w:sz w:val="21"/>
                <w:szCs w:val="21"/>
              </w:rPr>
              <w:t>10</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254C183D">
            <w:pPr>
              <w:pStyle w:val="9"/>
              <w:keepNext w:val="0"/>
              <w:keepLines w:val="0"/>
              <w:widowControl/>
              <w:suppressLineNumbers w:val="0"/>
              <w:spacing w:before="120" w:beforeAutospacing="0" w:after="0" w:afterAutospacing="1"/>
              <w:ind w:left="585" w:right="0"/>
            </w:pPr>
            <w:r>
              <w:rPr>
                <w:rFonts w:hint="eastAsia" w:ascii="宋体" w:hAnsi="宋体" w:eastAsia="宋体" w:cs="宋体"/>
                <w:color w:val="000000"/>
                <w:spacing w:val="-3"/>
                <w:sz w:val="21"/>
                <w:szCs w:val="21"/>
              </w:rPr>
              <w:t>25</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47006B5">
            <w:pPr>
              <w:pStyle w:val="9"/>
              <w:keepNext w:val="0"/>
              <w:keepLines w:val="0"/>
              <w:widowControl/>
              <w:suppressLineNumbers w:val="0"/>
              <w:spacing w:before="120" w:beforeAutospacing="0" w:after="0" w:afterAutospacing="1"/>
              <w:ind w:left="570" w:right="0"/>
            </w:pPr>
            <w:r>
              <w:rPr>
                <w:rFonts w:hint="eastAsia" w:ascii="宋体" w:hAnsi="宋体" w:eastAsia="宋体" w:cs="宋体"/>
                <w:color w:val="000000"/>
                <w:spacing w:val="-4"/>
                <w:sz w:val="21"/>
                <w:szCs w:val="21"/>
              </w:rPr>
              <w:t>30</w:t>
            </w:r>
          </w:p>
        </w:tc>
      </w:tr>
      <w:tr w14:paraId="39B6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nil"/>
              <w:left w:val="single" w:color="000000" w:sz="6" w:space="0"/>
              <w:bottom w:val="nil"/>
              <w:right w:val="single" w:color="000000" w:sz="6" w:space="0"/>
            </w:tcBorders>
            <w:shd w:val="clear"/>
            <w:tcMar>
              <w:top w:w="0" w:type="dxa"/>
              <w:left w:w="0" w:type="dxa"/>
              <w:bottom w:w="0" w:type="dxa"/>
              <w:right w:w="0" w:type="dxa"/>
            </w:tcMar>
            <w:vAlign w:val="top"/>
          </w:tcPr>
          <w:p w14:paraId="298DC5F8">
            <w:pPr>
              <w:rPr>
                <w:rFonts w:hint="eastAsia" w:ascii="宋体"/>
                <w:sz w:val="24"/>
                <w:szCs w:val="24"/>
              </w:rPr>
            </w:pP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AE43F82">
            <w:pPr>
              <w:pStyle w:val="9"/>
              <w:keepNext w:val="0"/>
              <w:keepLines w:val="0"/>
              <w:widowControl/>
              <w:suppressLineNumbers w:val="0"/>
              <w:spacing w:before="105" w:beforeAutospacing="0" w:after="0" w:afterAutospacing="1"/>
              <w:ind w:left="1200" w:right="0"/>
            </w:pPr>
            <w:r>
              <w:rPr>
                <w:rFonts w:hint="eastAsia" w:ascii="宋体" w:hAnsi="宋体" w:eastAsia="宋体" w:cs="宋体"/>
                <w:color w:val="000000"/>
                <w:spacing w:val="-3"/>
                <w:sz w:val="21"/>
                <w:szCs w:val="21"/>
              </w:rPr>
              <w:t>合计</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8DB3729">
            <w:pPr>
              <w:pStyle w:val="9"/>
              <w:keepNext w:val="0"/>
              <w:keepLines w:val="0"/>
              <w:widowControl/>
              <w:suppressLineNumbers w:val="0"/>
              <w:spacing w:before="135" w:beforeAutospacing="0" w:after="0" w:afterAutospacing="1"/>
              <w:ind w:left="570" w:right="0"/>
            </w:pPr>
            <w:r>
              <w:rPr>
                <w:rFonts w:hint="eastAsia" w:ascii="宋体" w:hAnsi="宋体" w:eastAsia="宋体" w:cs="宋体"/>
                <w:color w:val="000000"/>
                <w:spacing w:val="-2"/>
                <w:sz w:val="21"/>
                <w:szCs w:val="21"/>
              </w:rPr>
              <w:t>45</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024D4B98">
            <w:pPr>
              <w:pStyle w:val="9"/>
              <w:keepNext w:val="0"/>
              <w:keepLines w:val="0"/>
              <w:widowControl/>
              <w:suppressLineNumbers w:val="0"/>
              <w:spacing w:before="135" w:beforeAutospacing="0" w:after="0" w:afterAutospacing="1"/>
              <w:ind w:left="540" w:right="0"/>
            </w:pPr>
            <w:r>
              <w:rPr>
                <w:rFonts w:hint="eastAsia" w:ascii="宋体" w:hAnsi="宋体" w:eastAsia="宋体" w:cs="宋体"/>
                <w:b/>
                <w:bCs/>
                <w:color w:val="000000"/>
                <w:spacing w:val="-8"/>
                <w:sz w:val="21"/>
                <w:szCs w:val="21"/>
              </w:rPr>
              <w:t>125</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94F8025">
            <w:pPr>
              <w:pStyle w:val="9"/>
              <w:keepNext w:val="0"/>
              <w:keepLines w:val="0"/>
              <w:widowControl/>
              <w:suppressLineNumbers w:val="0"/>
              <w:spacing w:before="135" w:beforeAutospacing="0" w:after="0" w:afterAutospacing="1"/>
              <w:ind w:left="525" w:right="0"/>
            </w:pPr>
            <w:r>
              <w:rPr>
                <w:rFonts w:hint="eastAsia" w:ascii="宋体" w:hAnsi="宋体" w:eastAsia="宋体" w:cs="宋体"/>
                <w:color w:val="000000"/>
                <w:spacing w:val="-3"/>
                <w:sz w:val="21"/>
                <w:szCs w:val="21"/>
              </w:rPr>
              <w:t>220</w:t>
            </w:r>
          </w:p>
        </w:tc>
      </w:tr>
      <w:tr w14:paraId="3215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4E26B64D">
            <w:pPr>
              <w:pStyle w:val="9"/>
              <w:keepNext w:val="0"/>
              <w:keepLines w:val="0"/>
              <w:widowControl/>
              <w:suppressLineNumbers w:val="0"/>
              <w:spacing w:before="165" w:beforeAutospacing="0" w:after="0" w:afterAutospacing="1"/>
              <w:ind w:left="345" w:right="0"/>
            </w:pPr>
            <w:r>
              <w:rPr>
                <w:rFonts w:hint="eastAsia" w:ascii="宋体" w:hAnsi="宋体" w:eastAsia="宋体" w:cs="宋体"/>
                <w:color w:val="000000"/>
                <w:spacing w:val="-2"/>
                <w:sz w:val="21"/>
                <w:szCs w:val="21"/>
              </w:rPr>
              <w:t>文旅产业集群</w:t>
            </w:r>
          </w:p>
        </w:tc>
        <w:tc>
          <w:tcPr>
            <w:tcW w:w="283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1EC0533A">
            <w:pPr>
              <w:pStyle w:val="9"/>
              <w:keepNext w:val="0"/>
              <w:keepLines w:val="0"/>
              <w:widowControl/>
              <w:suppressLineNumbers w:val="0"/>
              <w:spacing w:before="165" w:beforeAutospacing="0" w:after="0" w:afterAutospacing="1"/>
              <w:ind w:left="990" w:right="0"/>
            </w:pPr>
            <w:r>
              <w:rPr>
                <w:rFonts w:hint="eastAsia" w:ascii="宋体" w:hAnsi="宋体" w:eastAsia="宋体" w:cs="宋体"/>
                <w:color w:val="000000"/>
                <w:spacing w:val="-2"/>
                <w:sz w:val="21"/>
                <w:szCs w:val="21"/>
              </w:rPr>
              <w:t>文旅产业</w:t>
            </w:r>
          </w:p>
        </w:tc>
        <w:tc>
          <w:tcPr>
            <w:tcW w:w="136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3DF5679D">
            <w:pPr>
              <w:pStyle w:val="9"/>
              <w:keepNext w:val="0"/>
              <w:keepLines w:val="0"/>
              <w:widowControl/>
              <w:suppressLineNumbers w:val="0"/>
              <w:spacing w:before="90" w:beforeAutospacing="0"/>
              <w:ind w:left="570"/>
              <w:jc w:val="left"/>
            </w:pPr>
            <w:r>
              <w:rPr>
                <w:rFonts w:hint="default" w:ascii="Arial" w:hAnsi="Arial" w:cs="Arial"/>
                <w:color w:val="000000"/>
                <w:sz w:val="21"/>
                <w:szCs w:val="21"/>
                <w:u w:val="single"/>
                <w:vertAlign w:val="baseline"/>
              </w:rPr>
              <w:t> </w:t>
            </w:r>
          </w:p>
        </w:tc>
        <w:tc>
          <w:tcPr>
            <w:tcW w:w="1395"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7B7A79BC">
            <w:pPr>
              <w:pStyle w:val="9"/>
              <w:keepNext w:val="0"/>
              <w:keepLines w:val="0"/>
              <w:widowControl/>
              <w:suppressLineNumbers w:val="0"/>
              <w:spacing w:before="90" w:beforeAutospacing="0"/>
              <w:ind w:left="585"/>
              <w:jc w:val="left"/>
            </w:pPr>
            <w:r>
              <w:rPr>
                <w:rFonts w:hint="default" w:ascii="Arial" w:hAnsi="Arial" w:cs="Arial"/>
                <w:color w:val="000000"/>
                <w:sz w:val="21"/>
                <w:szCs w:val="21"/>
                <w:u w:val="single"/>
                <w:vertAlign w:val="baseline"/>
              </w:rPr>
              <w:t> </w:t>
            </w:r>
          </w:p>
        </w:tc>
        <w:tc>
          <w:tcPr>
            <w:tcW w:w="1350" w:type="dxa"/>
            <w:tcBorders>
              <w:top w:val="nil"/>
              <w:left w:val="single" w:color="000000" w:sz="6" w:space="0"/>
              <w:bottom w:val="single" w:color="000000" w:sz="6" w:space="0"/>
              <w:right w:val="single" w:color="000000" w:sz="6" w:space="0"/>
            </w:tcBorders>
            <w:shd w:val="clear"/>
            <w:tcMar>
              <w:top w:w="0" w:type="dxa"/>
              <w:left w:w="0" w:type="dxa"/>
              <w:bottom w:w="0" w:type="dxa"/>
              <w:right w:w="0" w:type="dxa"/>
            </w:tcMar>
            <w:vAlign w:val="top"/>
          </w:tcPr>
          <w:p w14:paraId="68EA2E72">
            <w:pPr>
              <w:pStyle w:val="9"/>
              <w:keepNext w:val="0"/>
              <w:keepLines w:val="0"/>
              <w:widowControl/>
              <w:suppressLineNumbers w:val="0"/>
              <w:spacing w:before="90" w:beforeAutospacing="0"/>
              <w:ind w:left="570"/>
              <w:jc w:val="left"/>
            </w:pPr>
            <w:r>
              <w:rPr>
                <w:rFonts w:hint="default" w:ascii="Arial" w:hAnsi="Arial" w:cs="Arial"/>
                <w:color w:val="000000"/>
                <w:sz w:val="21"/>
                <w:szCs w:val="21"/>
                <w:u w:val="single"/>
                <w:vertAlign w:val="baseline"/>
              </w:rPr>
              <w:t> </w:t>
            </w:r>
          </w:p>
        </w:tc>
      </w:tr>
    </w:tbl>
    <w:p w14:paraId="6C8FA2FC">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BE58F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Emphasis"/>
    <w:basedOn w:val="11"/>
    <w:qFormat/>
    <w:uiPriority w:val="0"/>
    <w:rPr>
      <w:i/>
    </w:rPr>
  </w:style>
  <w:style w:type="character" w:styleId="13">
    <w:name w:val="Hyperlink"/>
    <w:basedOn w:val="11"/>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2025-06-10T10:16:19Z</dcterms:created>
  <dc:creator>uos</dc:creator>
  <cp:lastModifiedBy>温于豪</cp:lastModifiedBy>
  <dcterms:modified xsi:type="dcterms:W3CDTF">2025-06-10T10:16:34Z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FDAD586CBE08DCD582954768AB8E38C5_43</vt:lpwstr>
  </property>
</Properties>
</file>