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方正小标宋_GBK" w:cs="Times New Roman"/>
          <w:color w:val="000000" w:themeColor="text1"/>
          <w:sz w:val="44"/>
          <w:szCs w:val="44"/>
          <w:lang w:val="en-US" w:eastAsia="zh-CN"/>
          <w14:textFill>
            <w14:solidFill>
              <w14:schemeClr w14:val="tx1"/>
            </w14:solidFill>
          </w14:textFill>
        </w:rPr>
      </w:pPr>
      <w:r>
        <w:rPr>
          <w:rFonts w:hint="eastAsia" w:ascii="Times New Roman" w:hAnsi="Times New Roman" w:eastAsia="方正小标宋_GBK" w:cs="Times New Roman"/>
          <w:color w:val="000000" w:themeColor="text1"/>
          <w:sz w:val="44"/>
          <w:szCs w:val="44"/>
          <w:lang w:val="en-US" w:eastAsia="zh-CN"/>
          <w14:textFill>
            <w14:solidFill>
              <w14:schemeClr w14:val="tx1"/>
            </w14:solidFill>
          </w14:textFill>
        </w:rPr>
        <w:t xml:space="preserve"> “科创中国”</w:t>
      </w:r>
      <w:r>
        <w:rPr>
          <w:rFonts w:hint="default" w:ascii="Times New Roman" w:hAnsi="Times New Roman" w:eastAsia="方正小标宋_GBK" w:cs="Times New Roman"/>
          <w:color w:val="000000" w:themeColor="text1"/>
          <w:sz w:val="44"/>
          <w:szCs w:val="44"/>
          <w:lang w:val="en-US" w:eastAsia="zh-CN"/>
          <w14:textFill>
            <w14:solidFill>
              <w14:schemeClr w14:val="tx1"/>
            </w14:solidFill>
          </w14:textFill>
        </w:rPr>
        <w:t>常州</w:t>
      </w:r>
      <w:r>
        <w:rPr>
          <w:rFonts w:hint="default" w:ascii="Times New Roman" w:hAnsi="Times New Roman" w:eastAsia="方正小标宋_GBK" w:cs="Times New Roman"/>
          <w:color w:val="000000" w:themeColor="text1"/>
          <w:sz w:val="44"/>
          <w:szCs w:val="44"/>
          <w14:textFill>
            <w14:solidFill>
              <w14:schemeClr w14:val="tx1"/>
            </w14:solidFill>
          </w14:textFill>
        </w:rPr>
        <w:t>碳材料质量基础设施一站式服务平台推介会</w:t>
      </w:r>
      <w:r>
        <w:rPr>
          <w:rFonts w:hint="default" w:ascii="Times New Roman" w:hAnsi="Times New Roman" w:eastAsia="方正小标宋_GBK" w:cs="Times New Roman"/>
          <w:color w:val="000000" w:themeColor="text1"/>
          <w:sz w:val="44"/>
          <w:szCs w:val="44"/>
          <w:lang w:val="en-US" w:eastAsia="zh-CN"/>
          <w14:textFill>
            <w14:solidFill>
              <w14:schemeClr w14:val="tx1"/>
            </w14:solidFill>
          </w14:textFill>
        </w:rPr>
        <w:t>成功举办</w:t>
      </w:r>
    </w:p>
    <w:p>
      <w:pPr>
        <w:pStyle w:val="2"/>
        <w:ind w:firstLine="560" w:firstLineChars="200"/>
        <w:rPr>
          <w:rFonts w:hint="default" w:ascii="Times New Roman" w:hAnsi="Times New Roman" w:eastAsia="仿宋" w:cs="Times New Roman"/>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10月17日，</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“科创中国”</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常州碳材料质量基础设施一站式服务平台推介会在西太湖成功举行，会议由中国检验检测学会、常州市市场监督管理局、常州市工信局、常州市科学技术协会、常州西太湖科技产业园管理委员会联合指导，江南石墨烯研究院、江苏省石墨烯产业技术创新战略联盟联合主办。中</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国</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检</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验检测</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学会副会长秦殊涵、常州市场监督管理局副局长丁青峰、常州市科技局副局长张朝晖、常州市科协副主席周维华，常州西太湖科技产业园管委会副主任、江南石墨烯研究院院长胡延红参加会议。</w:t>
      </w:r>
    </w:p>
    <w:p>
      <w:pPr>
        <w:pStyle w:val="2"/>
        <w:rPr>
          <w:rFonts w:hint="default"/>
          <w:lang w:val="en-US" w:eastAsia="zh-CN"/>
        </w:rPr>
      </w:pPr>
      <w:r>
        <w:drawing>
          <wp:inline distT="0" distB="0" distL="114300" distR="114300">
            <wp:extent cx="5609590" cy="3736975"/>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09590" cy="37369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会议邀请了常州市锂电、储能、光伏、新型碳材料等相关企业代表参会，采取线上直播、线下互动的方式进行，常州市碳材料</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领域</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第六元素、富烯股份、贝特瑞、杉元科技、先诺科技、宏发纵横</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等重点</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企业</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常州大学、</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天目湖储能院、</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常州检标院大连理工研究院等平台</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，省储能行业协会、市光伏协会等单位线上线下共</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230余人参加活动。</w:t>
      </w:r>
    </w:p>
    <w:p>
      <w:pPr>
        <w:pStyle w:val="8"/>
        <w:keepNext w:val="0"/>
        <w:keepLines w:val="0"/>
        <w:pageBreakBefore w:val="0"/>
        <w:kinsoku/>
        <w:topLinePunct w:val="0"/>
        <w:bidi w:val="0"/>
        <w:snapToGrid/>
        <w:spacing w:line="540" w:lineRule="exact"/>
        <w:ind w:left="0" w:firstLine="640" w:firstLineChars="200"/>
        <w:jc w:val="left"/>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秦殊涵</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在致辞中谈到，</w:t>
      </w:r>
      <w:r>
        <w:rPr>
          <w:rFonts w:hint="eastAsia" w:ascii="仿宋" w:hAnsi="仿宋" w:eastAsia="仿宋" w:cs="仿宋"/>
          <w:color w:val="000000" w:themeColor="text1"/>
          <w:sz w:val="32"/>
          <w:szCs w:val="32"/>
          <w14:textFill>
            <w14:solidFill>
              <w14:schemeClr w14:val="tx1"/>
            </w14:solidFill>
          </w14:textFill>
        </w:rPr>
        <w:t>学会</w:t>
      </w:r>
      <w:r>
        <w:rPr>
          <w:rFonts w:hint="eastAsia" w:ascii="仿宋" w:hAnsi="仿宋" w:eastAsia="仿宋" w:cs="仿宋"/>
          <w:color w:val="000000" w:themeColor="text1"/>
          <w:sz w:val="32"/>
          <w:szCs w:val="32"/>
          <w:lang w:val="en-US" w:eastAsia="zh-CN"/>
          <w14:textFill>
            <w14:solidFill>
              <w14:schemeClr w14:val="tx1"/>
            </w14:solidFill>
          </w14:textFill>
        </w:rPr>
        <w:t>自2021年以来连续三年</w:t>
      </w:r>
      <w:r>
        <w:rPr>
          <w:rFonts w:hint="eastAsia" w:ascii="仿宋" w:hAnsi="仿宋" w:eastAsia="仿宋" w:cs="仿宋"/>
          <w:color w:val="000000" w:themeColor="text1"/>
          <w:sz w:val="32"/>
          <w:szCs w:val="32"/>
          <w14:textFill>
            <w14:solidFill>
              <w14:schemeClr w14:val="tx1"/>
            </w14:solidFill>
          </w14:textFill>
        </w:rPr>
        <w:t>承接了</w:t>
      </w:r>
      <w:r>
        <w:rPr>
          <w:rFonts w:hint="eastAsia" w:ascii="仿宋" w:hAnsi="仿宋" w:eastAsia="仿宋" w:cs="仿宋"/>
          <w:sz w:val="32"/>
          <w:szCs w:val="32"/>
        </w:rPr>
        <w:t>“科创中国”NQI先进碳材料产业科技服务团</w:t>
      </w:r>
      <w:r>
        <w:rPr>
          <w:rFonts w:hint="eastAsia" w:ascii="仿宋" w:hAnsi="仿宋" w:eastAsia="仿宋" w:cs="仿宋"/>
          <w:color w:val="000000" w:themeColor="text1"/>
          <w:sz w:val="32"/>
          <w:szCs w:val="32"/>
          <w14:textFill>
            <w14:solidFill>
              <w14:schemeClr w14:val="tx1"/>
            </w14:solidFill>
          </w14:textFill>
        </w:rPr>
        <w:t>项目，两年</w:t>
      </w:r>
      <w:r>
        <w:rPr>
          <w:rFonts w:hint="eastAsia" w:ascii="仿宋" w:hAnsi="仿宋" w:eastAsia="仿宋" w:cs="仿宋"/>
          <w:color w:val="000000" w:themeColor="text1"/>
          <w:sz w:val="32"/>
          <w:szCs w:val="32"/>
          <w:lang w:val="en-US" w:eastAsia="zh-CN"/>
          <w14:textFill>
            <w14:solidFill>
              <w14:schemeClr w14:val="tx1"/>
            </w14:solidFill>
          </w14:textFill>
        </w:rPr>
        <w:t>多来学会</w:t>
      </w:r>
      <w:r>
        <w:rPr>
          <w:rFonts w:hint="eastAsia" w:ascii="仿宋" w:hAnsi="仿宋" w:eastAsia="仿宋" w:cs="仿宋"/>
          <w:color w:val="000000" w:themeColor="text1"/>
          <w:sz w:val="32"/>
          <w:szCs w:val="32"/>
          <w14:textFill>
            <w14:solidFill>
              <w14:schemeClr w14:val="tx1"/>
            </w14:solidFill>
          </w14:textFill>
        </w:rPr>
        <w:t>服务团</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kern w:val="0"/>
          <w:sz w:val="32"/>
          <w:szCs w:val="32"/>
          <w:lang w:val="en-US" w:eastAsia="zh-CN" w:bidi="ar-SA"/>
        </w:rPr>
        <w:t>实地走访了近三十多家常州地区碳材料相关企业，</w:t>
      </w:r>
      <w:r>
        <w:rPr>
          <w:rFonts w:hint="eastAsia" w:ascii="仿宋" w:hAnsi="仿宋" w:eastAsia="仿宋" w:cs="仿宋"/>
          <w:bCs/>
          <w:sz w:val="32"/>
          <w:szCs w:val="32"/>
          <w:lang w:val="en-US" w:eastAsia="zh-CN"/>
        </w:rPr>
        <w:t>在常州市科协和各区政府的协助对接下</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，深入研究碳纤维领域，</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搜集整理企业需求，通过检验检测交叉学科的优势，调动学会专</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家</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资源，</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帮助</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解决企业需求</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制定产业技术路线图、建设标准领跑者</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路线图</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开展</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新技术成果</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转化等专项</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服务。</w:t>
      </w:r>
      <w:r>
        <w:rPr>
          <w:rFonts w:hint="eastAsia" w:ascii="仿宋" w:hAnsi="仿宋" w:eastAsia="仿宋" w:cs="仿宋"/>
          <w:bCs/>
          <w:kern w:val="0"/>
          <w:sz w:val="32"/>
          <w:szCs w:val="32"/>
          <w:lang w:val="en-US" w:eastAsia="zh-CN"/>
        </w:rPr>
        <w:t>创建了 “一个平台、两个清单、三个服务、四个成果”的工作模式，加强产业嵌入式和融合性，研究</w:t>
      </w:r>
      <w:r>
        <w:rPr>
          <w:rFonts w:hint="eastAsia" w:ascii="仿宋" w:hAnsi="仿宋" w:eastAsia="仿宋" w:cs="仿宋"/>
          <w:bCs/>
          <w:sz w:val="32"/>
          <w:szCs w:val="32"/>
        </w:rPr>
        <w:t>创新资源下沉和落地服务</w:t>
      </w:r>
      <w:r>
        <w:rPr>
          <w:rFonts w:hint="eastAsia" w:ascii="仿宋" w:hAnsi="仿宋" w:eastAsia="仿宋" w:cs="仿宋"/>
          <w:bCs/>
          <w:sz w:val="32"/>
          <w:szCs w:val="32"/>
          <w:lang w:val="en-US" w:eastAsia="zh-CN"/>
        </w:rPr>
        <w:t>等</w:t>
      </w:r>
      <w:r>
        <w:rPr>
          <w:rFonts w:hint="eastAsia" w:ascii="仿宋" w:hAnsi="仿宋" w:eastAsia="仿宋" w:cs="仿宋"/>
          <w:bCs/>
          <w:kern w:val="0"/>
          <w:sz w:val="32"/>
          <w:szCs w:val="32"/>
          <w:lang w:val="en-US" w:eastAsia="zh-CN"/>
        </w:rPr>
        <w:t>可</w:t>
      </w:r>
      <w:r>
        <w:rPr>
          <w:rFonts w:hint="eastAsia" w:ascii="仿宋" w:hAnsi="仿宋" w:eastAsia="仿宋" w:cs="仿宋"/>
          <w:bCs/>
          <w:sz w:val="32"/>
          <w:szCs w:val="32"/>
        </w:rPr>
        <w:t>持续</w:t>
      </w:r>
      <w:r>
        <w:rPr>
          <w:rFonts w:hint="eastAsia" w:ascii="仿宋" w:hAnsi="仿宋" w:eastAsia="仿宋" w:cs="仿宋"/>
          <w:bCs/>
          <w:sz w:val="32"/>
          <w:szCs w:val="32"/>
          <w:lang w:val="en-US" w:eastAsia="zh-CN"/>
        </w:rPr>
        <w:t>发展的工作机制</w:t>
      </w:r>
      <w:r>
        <w:rPr>
          <w:rFonts w:hint="eastAsia" w:ascii="仿宋" w:hAnsi="仿宋" w:eastAsia="仿宋" w:cs="仿宋"/>
          <w:bCs/>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会上</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秦殊涵、张朝晖共同为“中国检验检测学会创新科技服务站”揭牌；丁青峰、周维华共同为“常州碳材料质量基础设施一站式平台”揭牌；江南石墨烯研究院、常州大学测试中心、天目湖先进储能技术研究院、常州检验检测标准认证研究院四方签约共建“碳材料新能源应用检验检测平台”，合作推动建设检测、标准、认证等评价体系，共建共享检测仪器设备预约共享系统；江南石墨烯研究院测试中心与贝特瑞（江苏）新材料科技有限公司、常州第六元素材料科技股份有限公司、江苏杉元科技有限公司现场进行检测服务企业签约。江南石墨烯研究院对分析测试中心、石墨烯标准工作组、碳材料产品检测认证进行专题推介，会议最后由常州市科技资源统筹服务中心对江苏省科技创新券政策要点及实操进行了详细的解读。</w:t>
      </w:r>
    </w:p>
    <w:p>
      <w:pPr>
        <w:keepNext w:val="0"/>
        <w:keepLines w:val="0"/>
        <w:pageBreakBefore w:val="0"/>
        <w:widowControl w:val="0"/>
        <w:kinsoku/>
        <w:wordWrap/>
        <w:overflowPunct/>
        <w:topLinePunct w:val="0"/>
        <w:autoSpaceDE/>
        <w:autoSpaceDN/>
        <w:bidi w:val="0"/>
        <w:adjustRightInd/>
        <w:snapToGrid/>
        <w:spacing w:line="560" w:lineRule="exact"/>
        <w:ind w:firstLine="630" w:firstLineChars="3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bookmarkStart w:id="0" w:name="_GoBack"/>
      <w:r>
        <w:drawing>
          <wp:anchor distT="0" distB="0" distL="114300" distR="114300" simplePos="0" relativeHeight="251660288" behindDoc="0" locked="0" layoutInCell="1" allowOverlap="1">
            <wp:simplePos x="0" y="0"/>
            <wp:positionH relativeFrom="column">
              <wp:posOffset>160020</wp:posOffset>
            </wp:positionH>
            <wp:positionV relativeFrom="page">
              <wp:posOffset>3512185</wp:posOffset>
            </wp:positionV>
            <wp:extent cx="5615940" cy="3603625"/>
            <wp:effectExtent l="0" t="0" r="7620" b="825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615940" cy="3603625"/>
                    </a:xfrm>
                    <a:prstGeom prst="rect">
                      <a:avLst/>
                    </a:prstGeom>
                    <a:noFill/>
                    <a:ln>
                      <a:noFill/>
                    </a:ln>
                  </pic:spPr>
                </pic:pic>
              </a:graphicData>
            </a:graphic>
          </wp:anchor>
        </w:drawing>
      </w:r>
      <w:bookmarkEnd w:id="0"/>
      <w:r>
        <w:drawing>
          <wp:anchor distT="0" distB="0" distL="114300" distR="114300" simplePos="0" relativeHeight="251659264" behindDoc="0" locked="0" layoutInCell="1" allowOverlap="1">
            <wp:simplePos x="0" y="0"/>
            <wp:positionH relativeFrom="column">
              <wp:posOffset>29845</wp:posOffset>
            </wp:positionH>
            <wp:positionV relativeFrom="page">
              <wp:posOffset>6965315</wp:posOffset>
            </wp:positionV>
            <wp:extent cx="5612765" cy="3733165"/>
            <wp:effectExtent l="0" t="0" r="10795" b="63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612765" cy="3733165"/>
                    </a:xfrm>
                    <a:prstGeom prst="rect">
                      <a:avLst/>
                    </a:prstGeom>
                    <a:noFill/>
                    <a:ln>
                      <a:noFill/>
                    </a:ln>
                  </pic:spPr>
                </pic:pic>
              </a:graphicData>
            </a:graphic>
          </wp:anchor>
        </w:drawing>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江南石墨烯研究院逐步建设了涵盖碳材料“检测、标准、认证”三位一体的质量基础设施</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，重点建设的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分析测试中心是省级的先进碳材料检测技术重点实验室，累计拥有100多台的测试仪器，价值3000多万额测试设备，能够提供石墨烯材料、石墨烯产品、碳材料及其制品、光伏产品4大类领域共计53项检验检测项目；获评国家石墨烯标准工作组分组长单位</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和江苏省石墨烯标准化技术委员会秘书处单位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，主导和参与完成研制石墨烯产业相关标准11项；联合华阳检测打造碳材料认证体系，并具有CMA资质。</w:t>
      </w:r>
    </w:p>
    <w:p>
      <w:pPr>
        <w:pStyle w:val="2"/>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drawing>
          <wp:inline distT="0" distB="0" distL="114300" distR="114300">
            <wp:extent cx="5610225" cy="3714750"/>
            <wp:effectExtent l="0" t="0" r="1333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610225" cy="3714750"/>
                    </a:xfrm>
                    <a:prstGeom prst="rect">
                      <a:avLst/>
                    </a:prstGeom>
                    <a:noFill/>
                    <a:ln>
                      <a:noFill/>
                    </a:ln>
                  </pic:spPr>
                </pic:pic>
              </a:graphicData>
            </a:graphic>
          </wp:inline>
        </w:drawing>
      </w:r>
    </w:p>
    <w:p>
      <w:pPr>
        <w:pStyle w:val="2"/>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常州近年来围绕“科创中国”NQI先进碳材料产业科技服务团工作内容，积极布局石墨烯、碳纤维、碳复合材料等先进碳材料产业链，全力建设具有全球竞争力的新型碳材料产业集群，已发展成为全国先进碳材料的产业高地，2022年常州新型碳材料集群成为全国45个先进制造业集群，常州唯一。</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此次活动，</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研究院</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全面展示在碳材料领域的检测、分析、标准、认证的能力，</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搭建了质量基础设施赋能企业服务的平台，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拓展碳材料与新能源</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应用、检测、标准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融合</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通过推介活动进一步发挥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江南石墨烯研究院公共服务平台作用，提高大型仪器使用效率</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联合天目湖储能院、常州大学检测中心</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、常州检标院</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建设</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碳材料新能源</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应用检验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检测平台</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，共建共享仪器设备</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更好地服务常州碳材料企业</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推动科技创新政策进基层、进园区，进一步优化碳材料产业服务生态。</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活动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是贯彻落实“532”发展战略，推动新能源之都建设</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的实际行动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，也是更好</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发挥质量基础设施在推动产业高质量发展的</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创新之举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rPr>
          <w:rFonts w:hint="default" w:ascii="Times New Roman" w:hAnsi="Times New Roman" w:cs="Times New Roman"/>
        </w:rPr>
      </w:pPr>
    </w:p>
    <w:sectPr>
      <w:pgSz w:w="11906" w:h="16838"/>
      <w:pgMar w:top="1440" w:right="1531" w:bottom="1440" w:left="1531"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2OTIyODExYjQxMzViYTU1MzBmZmNlZmVkMzgzMTQifQ=="/>
  </w:docVars>
  <w:rsids>
    <w:rsidRoot w:val="258041D0"/>
    <w:rsid w:val="0018099E"/>
    <w:rsid w:val="006836D3"/>
    <w:rsid w:val="02F71238"/>
    <w:rsid w:val="03920A67"/>
    <w:rsid w:val="04071455"/>
    <w:rsid w:val="04BE18EB"/>
    <w:rsid w:val="04C11604"/>
    <w:rsid w:val="055B5021"/>
    <w:rsid w:val="07834A9D"/>
    <w:rsid w:val="08872B64"/>
    <w:rsid w:val="089112ED"/>
    <w:rsid w:val="0AEE6ECB"/>
    <w:rsid w:val="0C37664F"/>
    <w:rsid w:val="0DC108C7"/>
    <w:rsid w:val="0DDF0D4D"/>
    <w:rsid w:val="0E572FD9"/>
    <w:rsid w:val="0E741495"/>
    <w:rsid w:val="0F611949"/>
    <w:rsid w:val="10134CDE"/>
    <w:rsid w:val="104B26C9"/>
    <w:rsid w:val="11DE1621"/>
    <w:rsid w:val="126006AE"/>
    <w:rsid w:val="140B289C"/>
    <w:rsid w:val="141A5F76"/>
    <w:rsid w:val="14661880"/>
    <w:rsid w:val="146E4BD8"/>
    <w:rsid w:val="162B0F4B"/>
    <w:rsid w:val="164B51D1"/>
    <w:rsid w:val="171B1048"/>
    <w:rsid w:val="17B662C3"/>
    <w:rsid w:val="17F13B56"/>
    <w:rsid w:val="180C273E"/>
    <w:rsid w:val="182A7068"/>
    <w:rsid w:val="1873446B"/>
    <w:rsid w:val="19742C91"/>
    <w:rsid w:val="1A4D1C9F"/>
    <w:rsid w:val="1A6745A4"/>
    <w:rsid w:val="1B506361"/>
    <w:rsid w:val="1BDC68CC"/>
    <w:rsid w:val="1C033E58"/>
    <w:rsid w:val="1E5135A1"/>
    <w:rsid w:val="20783067"/>
    <w:rsid w:val="2080016D"/>
    <w:rsid w:val="226C4038"/>
    <w:rsid w:val="228757E3"/>
    <w:rsid w:val="22F369D5"/>
    <w:rsid w:val="235558E1"/>
    <w:rsid w:val="23AE6894"/>
    <w:rsid w:val="241A61E3"/>
    <w:rsid w:val="243948BB"/>
    <w:rsid w:val="24AC3202"/>
    <w:rsid w:val="24C27D79"/>
    <w:rsid w:val="25695674"/>
    <w:rsid w:val="256B13EC"/>
    <w:rsid w:val="258041D0"/>
    <w:rsid w:val="25B50B54"/>
    <w:rsid w:val="25B569C0"/>
    <w:rsid w:val="279462AC"/>
    <w:rsid w:val="279B763B"/>
    <w:rsid w:val="27BE012C"/>
    <w:rsid w:val="28F72F97"/>
    <w:rsid w:val="29D82DC8"/>
    <w:rsid w:val="2AF27EBA"/>
    <w:rsid w:val="2BC5737C"/>
    <w:rsid w:val="2F1F6DA3"/>
    <w:rsid w:val="30E6401D"/>
    <w:rsid w:val="31355708"/>
    <w:rsid w:val="318708A3"/>
    <w:rsid w:val="31E56082"/>
    <w:rsid w:val="31F43B9D"/>
    <w:rsid w:val="33466FF4"/>
    <w:rsid w:val="34B23974"/>
    <w:rsid w:val="38657F1D"/>
    <w:rsid w:val="3A3A0F35"/>
    <w:rsid w:val="3D0E0B83"/>
    <w:rsid w:val="3D9B1CEB"/>
    <w:rsid w:val="3DD27E02"/>
    <w:rsid w:val="3E0E070F"/>
    <w:rsid w:val="3F304C59"/>
    <w:rsid w:val="3F7761E8"/>
    <w:rsid w:val="42521512"/>
    <w:rsid w:val="454B3FF6"/>
    <w:rsid w:val="471072A6"/>
    <w:rsid w:val="49507E2D"/>
    <w:rsid w:val="4C23031D"/>
    <w:rsid w:val="4C7622F6"/>
    <w:rsid w:val="4CC27294"/>
    <w:rsid w:val="4D73058E"/>
    <w:rsid w:val="4E964534"/>
    <w:rsid w:val="50615016"/>
    <w:rsid w:val="50FE0AB7"/>
    <w:rsid w:val="56821842"/>
    <w:rsid w:val="572C4E97"/>
    <w:rsid w:val="58382B00"/>
    <w:rsid w:val="58CB127E"/>
    <w:rsid w:val="58EF164D"/>
    <w:rsid w:val="5A5A5B18"/>
    <w:rsid w:val="5A5B13E1"/>
    <w:rsid w:val="5D570AB1"/>
    <w:rsid w:val="5D7C58E3"/>
    <w:rsid w:val="5E2F22B0"/>
    <w:rsid w:val="5E317DD6"/>
    <w:rsid w:val="5EAC3900"/>
    <w:rsid w:val="5F5F4E16"/>
    <w:rsid w:val="5F97635E"/>
    <w:rsid w:val="5FB5188F"/>
    <w:rsid w:val="6014148E"/>
    <w:rsid w:val="60D44B41"/>
    <w:rsid w:val="60EC4488"/>
    <w:rsid w:val="61941B7F"/>
    <w:rsid w:val="61CE1DDF"/>
    <w:rsid w:val="62B40FD5"/>
    <w:rsid w:val="64B13A1E"/>
    <w:rsid w:val="64C80D68"/>
    <w:rsid w:val="6562291E"/>
    <w:rsid w:val="65732327"/>
    <w:rsid w:val="65B512EC"/>
    <w:rsid w:val="66D175A3"/>
    <w:rsid w:val="672D1356"/>
    <w:rsid w:val="676254A4"/>
    <w:rsid w:val="67642FCA"/>
    <w:rsid w:val="696279DD"/>
    <w:rsid w:val="6A050368"/>
    <w:rsid w:val="6D5533B5"/>
    <w:rsid w:val="6E775CD9"/>
    <w:rsid w:val="6F941206"/>
    <w:rsid w:val="70781894"/>
    <w:rsid w:val="724F1F27"/>
    <w:rsid w:val="72760055"/>
    <w:rsid w:val="7620086F"/>
    <w:rsid w:val="76562678"/>
    <w:rsid w:val="773109EF"/>
    <w:rsid w:val="778B45A3"/>
    <w:rsid w:val="783F0EE9"/>
    <w:rsid w:val="78751B8D"/>
    <w:rsid w:val="78882890"/>
    <w:rsid w:val="796450AB"/>
    <w:rsid w:val="7AE069B4"/>
    <w:rsid w:val="7CD12A58"/>
    <w:rsid w:val="7FB16B71"/>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5"/>
    <w:qFormat/>
    <w:uiPriority w:val="0"/>
    <w:pPr>
      <w:adjustRightInd w:val="0"/>
      <w:snapToGrid w:val="0"/>
      <w:spacing w:line="520" w:lineRule="exact"/>
      <w:ind w:left="0" w:right="0" w:firstLine="640" w:firstLineChars="200"/>
      <w:jc w:val="left"/>
      <w:outlineLvl w:val="0"/>
    </w:pPr>
    <w:rPr>
      <w:rFonts w:ascii="方正小标宋_GBK" w:hAnsi="方正小标宋_GBK" w:eastAsia="黑体" w:cs="方正小标宋_GBK"/>
      <w:sz w:val="32"/>
      <w:szCs w:val="44"/>
      <w:lang w:val="zh-CN" w:bidi="zh-CN"/>
    </w:rPr>
  </w:style>
  <w:style w:type="paragraph" w:styleId="4">
    <w:name w:val="heading 2"/>
    <w:basedOn w:val="1"/>
    <w:next w:val="1"/>
    <w:semiHidden/>
    <w:unhideWhenUsed/>
    <w:qFormat/>
    <w:uiPriority w:val="0"/>
    <w:pPr>
      <w:keepNext/>
      <w:keepLines/>
      <w:adjustRightInd w:val="0"/>
      <w:snapToGrid w:val="0"/>
      <w:spacing w:beforeLines="0" w:beforeAutospacing="0" w:afterLines="0" w:afterAutospacing="0" w:line="560" w:lineRule="exact"/>
      <w:ind w:firstLine="880" w:firstLineChars="200"/>
      <w:outlineLvl w:val="1"/>
    </w:pPr>
    <w:rPr>
      <w:rFonts w:ascii="Arial" w:hAnsi="Arial" w:eastAsia="楷体_GB2312"/>
      <w:b/>
      <w:sz w:val="32"/>
    </w:rPr>
  </w:style>
  <w:style w:type="paragraph" w:styleId="5">
    <w:name w:val="heading 3"/>
    <w:basedOn w:val="1"/>
    <w:next w:val="1"/>
    <w:link w:val="13"/>
    <w:semiHidden/>
    <w:unhideWhenUsed/>
    <w:qFormat/>
    <w:uiPriority w:val="0"/>
    <w:pPr>
      <w:keepNext/>
      <w:keepLines/>
      <w:adjustRightInd w:val="0"/>
      <w:snapToGrid w:val="0"/>
      <w:spacing w:beforeLines="0" w:beforeAutospacing="0" w:afterLines="0" w:afterAutospacing="0" w:line="560" w:lineRule="exact"/>
      <w:ind w:firstLine="880" w:firstLineChars="200"/>
      <w:outlineLvl w:val="2"/>
    </w:pPr>
    <w:rPr>
      <w:rFonts w:ascii="方正仿宋_GBK" w:hAnsi="方正仿宋_GBK" w:eastAsia="仿宋_GB2312" w:cs="方正仿宋_GBK"/>
      <w:b/>
      <w:sz w:val="32"/>
      <w:lang w:val="zh-CN" w:bidi="zh-CN"/>
    </w:rPr>
  </w:style>
  <w:style w:type="paragraph" w:styleId="6">
    <w:name w:val="heading 4"/>
    <w:basedOn w:val="7"/>
    <w:next w:val="1"/>
    <w:link w:val="14"/>
    <w:semiHidden/>
    <w:unhideWhenUsed/>
    <w:qFormat/>
    <w:uiPriority w:val="0"/>
    <w:pPr>
      <w:keepNext/>
      <w:keepLines/>
      <w:adjustRightInd w:val="0"/>
      <w:snapToGrid w:val="0"/>
      <w:spacing w:before="0" w:beforeLines="0" w:beforeAutospacing="0" w:after="0" w:afterLines="0" w:afterAutospacing="0" w:line="560" w:lineRule="exact"/>
      <w:ind w:left="0" w:leftChars="0"/>
      <w:jc w:val="left"/>
      <w:outlineLvl w:val="3"/>
    </w:pPr>
    <w:rPr>
      <w:rFonts w:ascii="Arial" w:hAnsi="Arial" w:eastAsia="仿宋_GB2312"/>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EndnoteText"/>
    <w:basedOn w:val="1"/>
    <w:qFormat/>
    <w:uiPriority w:val="0"/>
  </w:style>
  <w:style w:type="paragraph" w:styleId="7">
    <w:name w:val="toc 4"/>
    <w:basedOn w:val="1"/>
    <w:next w:val="1"/>
    <w:qFormat/>
    <w:uiPriority w:val="0"/>
    <w:pPr>
      <w:ind w:left="1260" w:leftChars="600"/>
    </w:pPr>
  </w:style>
  <w:style w:type="paragraph" w:styleId="8">
    <w:name w:val="Body Text"/>
    <w:basedOn w:val="1"/>
    <w:next w:val="1"/>
    <w:qFormat/>
    <w:uiPriority w:val="0"/>
    <w:pPr>
      <w:spacing w:after="120" w:afterLines="0" w:afterAutospacing="0"/>
    </w:pPr>
  </w:style>
  <w:style w:type="paragraph" w:styleId="9">
    <w:name w:val="Body Text Indent"/>
    <w:basedOn w:val="1"/>
    <w:qFormat/>
    <w:uiPriority w:val="0"/>
    <w:pPr>
      <w:spacing w:after="120" w:afterLines="0" w:afterAutospacing="0"/>
      <w:ind w:left="420" w:leftChars="200"/>
    </w:pPr>
  </w:style>
  <w:style w:type="paragraph" w:styleId="10">
    <w:name w:val="Body Text First Indent 2"/>
    <w:basedOn w:val="9"/>
    <w:qFormat/>
    <w:uiPriority w:val="0"/>
    <w:pPr>
      <w:ind w:firstLine="420" w:firstLineChars="200"/>
    </w:pPr>
  </w:style>
  <w:style w:type="character" w:customStyle="1" w:styleId="13">
    <w:name w:val="标题 3 Char"/>
    <w:link w:val="5"/>
    <w:qFormat/>
    <w:uiPriority w:val="0"/>
    <w:rPr>
      <w:rFonts w:ascii="方正仿宋_GBK" w:hAnsi="方正仿宋_GBK" w:eastAsia="仿宋_GB2312" w:cs="方正仿宋_GBK"/>
      <w:b/>
      <w:sz w:val="32"/>
      <w:szCs w:val="22"/>
      <w:lang w:val="zh-CN" w:bidi="zh-CN"/>
    </w:rPr>
  </w:style>
  <w:style w:type="character" w:customStyle="1" w:styleId="14">
    <w:name w:val="标题 4 Char"/>
    <w:link w:val="6"/>
    <w:qFormat/>
    <w:uiPriority w:val="0"/>
    <w:rPr>
      <w:rFonts w:ascii="Arial" w:hAnsi="Arial" w:eastAsia="仿宋_GB2312"/>
      <w:b/>
      <w:sz w:val="32"/>
    </w:rPr>
  </w:style>
  <w:style w:type="character" w:customStyle="1" w:styleId="15">
    <w:name w:val="标题 1 Char"/>
    <w:link w:val="3"/>
    <w:qFormat/>
    <w:uiPriority w:val="1"/>
    <w:rPr>
      <w:rFonts w:ascii="方正小标宋_GBK" w:hAnsi="方正小标宋_GBK" w:eastAsia="黑体" w:cs="方正小标宋_GBK"/>
      <w:sz w:val="32"/>
      <w:szCs w:val="44"/>
      <w:lang w:val="zh-CN" w:bidi="zh-CN"/>
    </w:rPr>
  </w:style>
  <w:style w:type="character" w:customStyle="1" w:styleId="16">
    <w:name w:val="bjh-p"/>
    <w:basedOn w:val="12"/>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2023-10-18T00:46:00Z</dcterms:created>
  <dc:creator>四代重歼</dc:creator>
  <cp:lastModifiedBy>高少泽</cp:lastModifiedBy>
  <dcterms:modified xsi:type="dcterms:W3CDTF">2023-10-20T06:49:45Z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E878231807F249869C6239660A157B99_13</vt:lpwstr>
  </property>
</Properties>
</file>