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w w:val="10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w w:val="100"/>
          <w:sz w:val="28"/>
          <w:szCs w:val="28"/>
          <w:shd w:val="clear" w:fill="FFFFFF"/>
        </w:rPr>
        <w:t>【协会喜报】宁波市科技创新协会荣获“三星级品牌指导服务站”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根据国家知识产权局《关于进一步加强商标品牌指导站建设的通知》（国知发运字〔2021〕24号）、市委、市政府《关于全面加强知识产权工作的实施意见》（甬党办〔2020〕77号）以及《宁波市品牌指导服务站“一站一品”建设实施意见》（甬市监商标〔2021〕47号）等文件精神和相关要求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t>1月30日，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宁波市市场监督管理局公示了202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年度宁波市星级品牌指导服务站评定情况，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val="en-US" w:eastAsia="zh-CN"/>
        </w:rPr>
        <w:t>宁波市科技创新协会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被评为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eastAsia="zh-CN"/>
        </w:rPr>
        <w:t>“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三星级品牌指导服务站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  <w:lang w:eastAsia="zh-CN"/>
        </w:rPr>
        <w:t>”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 w:firstLine="448"/>
        <w:jc w:val="both"/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</w:pPr>
      <w:r>
        <w:rPr>
          <w:rFonts w:hint="eastAsia" w:ascii="Helvetica" w:hAnsi="Helvetica" w:eastAsia="宋体" w:cs="Helvetica"/>
          <w:i w:val="0"/>
          <w:iCs w:val="0"/>
          <w:caps w:val="0"/>
          <w:color w:val="auto"/>
          <w:spacing w:val="15"/>
          <w:sz w:val="22"/>
          <w:szCs w:val="22"/>
          <w:lang w:eastAsia="zh-CN"/>
        </w:rPr>
        <w:drawing>
          <wp:inline distT="0" distB="0" distL="114300" distR="114300">
            <wp:extent cx="5267960" cy="4853305"/>
            <wp:effectExtent l="0" t="0" r="8890" b="44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4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自挂牌以来，宁波市科技创新协会品牌指导服务站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t>始终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坚持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t>以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提升知识产权创造、运用、保护、管理和服务能力为着力点，积极引导企业实施商标品牌战略，扎实做好知识产权工作的管理与服务工作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在知识产权保护、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t>运用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、服务等方面推出一系列举措。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4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338070" cy="1753870"/>
            <wp:effectExtent l="0" t="0" r="5080" b="17780"/>
            <wp:docPr id="10" name="图片 10" descr="566a738fe8a921365d0d1102e40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66a738fe8a921365d0d1102e4093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337435" cy="1753235"/>
            <wp:effectExtent l="0" t="0" r="5715" b="18415"/>
            <wp:docPr id="11" name="图片 11" descr="b04e2023097b4f9536ed4be6fa1e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04e2023097b4f9536ed4be6fa1eb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4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t>2023年，协会线下走访指导企业576家，为企业提供知识产权服务商标新注册量101件，商标新申请量152件，积极辅导和帮助企业走高质量发展之路，提高会员企业影响力。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除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t>此之外，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还出台了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t>一系列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优惠政策和绿色通道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开展各类知识产权培训，为企业提供品牌建设工作建议、知识产权体检报告等服务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eastAsia="zh-CN"/>
        </w:rPr>
        <w:t>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5"/>
          <w:szCs w:val="25"/>
        </w:rPr>
        <w:t>在推动品牌建设上取得了良好成效。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4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254885" cy="1691005"/>
            <wp:effectExtent l="0" t="0" r="12065" b="444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254885" cy="1691640"/>
            <wp:effectExtent l="0" t="0" r="12065" b="381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4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251075" cy="1688465"/>
            <wp:effectExtent l="0" t="0" r="15875" b="6985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251710" cy="1689100"/>
            <wp:effectExtent l="0" t="0" r="15240" b="635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4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276475" cy="1707515"/>
            <wp:effectExtent l="0" t="0" r="9525" b="6985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262505" cy="1696720"/>
            <wp:effectExtent l="0" t="0" r="4445" b="1778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4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287905" cy="1715770"/>
            <wp:effectExtent l="0" t="0" r="17145" b="1778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251075" cy="1717675"/>
            <wp:effectExtent l="0" t="0" r="15875" b="1587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4"/>
                    <a:srcRect l="12769" r="13472"/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50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5"/>
          <w:szCs w:val="25"/>
        </w:rPr>
        <w:t>协会品牌指导服务站将以此为新的起点，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落脚企业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创新服务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扎实前行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5"/>
          <w:szCs w:val="25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262626"/>
          <w:spacing w:val="15"/>
          <w:sz w:val="24"/>
          <w:szCs w:val="24"/>
          <w:shd w:val="clear" w:fill="FFFFFF"/>
        </w:rPr>
        <w:t>营造健康良好的市场发展环境，助推经济高质量发展！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2MDQ4YzExNWQ2ZTU0ZGYwNWQ2ZDRmZGNlOTQ3N2MifQ=="/>
  </w:docVars>
  <w:rsids>
    <w:rsidRoot w:val="42AC1A38"/>
    <w:rsid w:val="055B54E9"/>
    <w:rsid w:val="145C300E"/>
    <w:rsid w:val="42AC1A38"/>
    <w:rsid w:val="4E5D24AA"/>
    <w:rsid w:val="4FCB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2024-01-30T07:55:00Z</dcterms:created>
  <dc:creator>琦私妙享</dc:creator>
  <cp:lastModifiedBy>琦私妙享</cp:lastModifiedBy>
  <dcterms:modified xsi:type="dcterms:W3CDTF">2024-02-01T05:09:07Z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23E5980BD3364464A19E475A05F75BF9_11</vt:lpwstr>
  </property>
</Properties>
</file>