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line="600" w:lineRule="exact"/>
        <w:ind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关于申请产业顾问组支持脱贫县产业发展的工作报告</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全县人民数十年的努力，石门县已成为湖南省柑橘种植规模最大的县，地位突出、优势明显。全县现有柑橘面积45万亩，年鲜果产量达40万吨，年综合收入14.5亿元以上。全县27个乡镇（街道、场）有18个主产柑橘，205个村发展柑橘产业，近30万人以柑橘为主业，橘农人均鲜果收入4000多元，获得“2017中国果业扶贫突出贡献奖”。先后被国家权威机构认定为“中国柑橘之乡”“中国早熟蜜橘第一县”“全国园艺产品出口示范区”“国家级出口食品农产品质量安全示范区”“全国柑橘产业30强县（市）”“粤港澳大湾区菜篮子供应基地”。“石门柑橘”已被评定为“中华名果”、“湖南省著名商标”，入选湖南省十大农产品区域公用品牌和湖南省十大果品区域公共品牌，2020、2021年荣获湖南省“一县一特”农产品优秀品牌，品牌评估价值达24.04亿元。</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一、产业市场需求分析</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1.产销形势严峻</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近年全国柑橘面积持续扩张，面积高达4500万亩以上、年产量达5000万吨，每个中国人要消化70斤柑橘，供大于求矛盾越来越突出。</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2.市场销售环境较差</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受疫情、经济下行、俄乌战争、汇率等因素影响，消费降级明显，果品市场低迷，出口也受到很大冲击，我县柑橘销售的农批市场、出口这两个传统市场都受到非常大的影响。</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二、产业发展瓶颈分析</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1.生产水平相对落后</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石门县柑橘种植</w:t>
      </w:r>
      <w:bookmarkEnd w:id="0"/>
      <w:r>
        <w:rPr>
          <w:rFonts w:hint="eastAsia" w:ascii="仿宋_GB2312" w:hAnsi="仿宋_GB2312" w:eastAsia="仿宋_GB2312" w:cs="仿宋_GB2312"/>
          <w:sz w:val="32"/>
          <w:szCs w:val="32"/>
          <w:lang w:val="en-US" w:eastAsia="zh-CN"/>
        </w:rPr>
        <w:t>区域以低山丘陵为主，传统种植橘园条块分割严重，3-5亩分散种植小户占比高，规模化种植占比不超过15%，已经远远低于广西、四川、赣南等新兴柑橘产区。传统低产低效橘园占比高达35%，建园标准低，机械化、智能化程度低，抗灾水平低。种植水平相对落后，农村空心化程度加剧，人力成本上升，生产管理水平下降，品种老化、投入偏低、品质低劣等问题也越来越突出，导致果品竞争力有所下降，难以满足商超、电商等“蓝海”市场中高端消费需求。</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2.品牌建设薄弱</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门柑橘”区域公用品牌缺乏监管，品牌形象弱、影响力有限，品牌销售比例较低。企业品牌缺乏有序管理，同质化竞争严重，产品质量、包装、价格体系混乱。网货标准化程度低，供应链环节存在明显短板，包括物流体系不健全，仓储、分拣、现代物流等支撑体系发展滞后，快递物流成本高、运输时间长、配送不及时等。</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3.柑橘产品加工能力不强</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门县以温州蜜柑种植为主，占比达70%以上，90%以上的果品以鲜销为主。果品加工仍以面向传统农批市场的初加工为主，虽然杨氏、福慧达、芙蓉园等企业先后引进了国际上先进的智能分选设备，但目前仅有湘佳橘友智能分选设备得到有效利用，其它公司由于设备维护成本高、企业经营困难等因素影响，均处于闲置或低利用状态。果品深加工仅有德尔耀公司的橘瓣罐头年加工1万吨左右，生理落果深加工项目目前仍停留在收购方面，副产品深加工提取利用仍未取得实质进展。</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4.创新发展后劲不足</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投入远远满足不了全县柑橘品改、品牌营销等重点工作需求。对龙头企业的培育、扶持、引导不够，科技创新能力弱，项目建设撒胡椒面现象严重，示范效应不强。土地流转、租赁政策缺乏创新，企业融资困难、成本高。专业人才队伍老化且出现严重断层。柑橘精深加工、一二三产业融合方面短板突出。</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三、已有服务产业发展的科技工作者情况</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2021年特聘农业科技专家8名，其中柑橘3人。2022年聘请现代农业产业园专家2名，其中柑橘1人。</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四、主要科技服务需求</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1.柑橘产业发展规划指导。</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2.品种培优、品质提升、品牌打造及标准化建设。</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3.柑橘副产品综合利用开发（提取物、橘酒、橘醋、休闲食品）。</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4.线上市场开发。</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5.橘旅融合市场开发。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WNjOTg2Mzg4OTc0MDczNDE2YmQ3NDA0ZjI4ZWMifQ=="/>
  </w:docVars>
  <w:rsids>
    <w:rsidRoot w:val="00000000"/>
    <w:rsid w:val="052E47BF"/>
    <w:rsid w:val="0B6947A3"/>
    <w:rsid w:val="0BAF6A4F"/>
    <w:rsid w:val="0F7274DB"/>
    <w:rsid w:val="13566AD8"/>
    <w:rsid w:val="14B06F9F"/>
    <w:rsid w:val="1DD2622D"/>
    <w:rsid w:val="20684BD2"/>
    <w:rsid w:val="2C546555"/>
    <w:rsid w:val="2C8E3C12"/>
    <w:rsid w:val="2D8F379E"/>
    <w:rsid w:val="37DA7D0B"/>
    <w:rsid w:val="38090F45"/>
    <w:rsid w:val="39C3314D"/>
    <w:rsid w:val="4766336A"/>
    <w:rsid w:val="4B375A42"/>
    <w:rsid w:val="4D6D1875"/>
    <w:rsid w:val="4DEB45C9"/>
    <w:rsid w:val="583059FA"/>
    <w:rsid w:val="598F49A2"/>
    <w:rsid w:val="5DA85522"/>
    <w:rsid w:val="70473489"/>
    <w:rsid w:val="74FF0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1"/>
    <w:rPr>
      <w:rFonts w:ascii="仿宋_GB2312" w:hAnsi="仿宋_GB2312" w:eastAsia="仿宋_GB2312" w:cs="仿宋_GB2312"/>
      <w:sz w:val="24"/>
      <w:szCs w:val="24"/>
      <w:lang w:val="zh-CN" w:eastAsia="zh-CN" w:bidi="zh-CN"/>
    </w:rPr>
  </w:style>
  <w:style w:type="paragraph" w:customStyle="1" w:styleId="4">
    <w:name w:val="正文首行缩进11"/>
    <w:basedOn w:val="1"/>
    <w:qFormat/>
    <w:uiPriority w:val="0"/>
    <w:pPr>
      <w:spacing w:after="120"/>
      <w:ind w:firstLine="420" w:firstLineChars="100"/>
    </w:p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1411</Words>
  <Characters>1472</Characters>
  <Lines>0</Lines>
  <Paragraphs>0</Paragraphs>
  <TotalTime>61</TotalTime>
  <ScaleCrop>false</ScaleCrop>
  <LinksUpToDate>false</LinksUpToDate>
  <CharactersWithSpaces>1472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2023-05-31T07:45:00Z</dcterms:created>
  <dc:creator>fpbbgs</dc:creator>
  <cp:lastModifiedBy>唐银</cp:lastModifiedBy>
  <cp:lastPrinted>2023-06-08T08:58:00Z</cp:lastPrinted>
  <dcterms:modified xsi:type="dcterms:W3CDTF">2023-07-29T09:20:22Z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B4E05F27A4F84F57A374F7E7D9040B9A_13</vt:lpwstr>
  </property>
</Properties>
</file>