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BF87">
      <w:pPr>
        <w:adjustRightInd w:val="0"/>
        <w:snapToGrid w:val="0"/>
        <w:spacing w:line="540" w:lineRule="exact"/>
        <w:jc w:val="center"/>
        <w:rPr>
          <w:rFonts w:ascii="方正小标宋_GBK" w:hAnsi="方正小标宋_GBK" w:eastAsia="方正小标宋_GBK" w:cs="方正小标宋_GBK"/>
          <w:bCs/>
          <w:color w:val="000000"/>
          <w:sz w:val="44"/>
          <w:szCs w:val="44"/>
        </w:rPr>
      </w:pPr>
      <w:bookmarkStart w:id="0" w:name="_GoBack"/>
      <w:bookmarkEnd w:id="0"/>
      <w:r>
        <w:rPr>
          <w:rFonts w:hint="eastAsia" w:ascii="方正小标宋_GBK" w:hAnsi="方正小标宋_GBK" w:eastAsia="方正小标宋_GBK" w:cs="方正小标宋_GBK"/>
          <w:bCs/>
          <w:color w:val="000000"/>
          <w:sz w:val="44"/>
          <w:szCs w:val="44"/>
        </w:rPr>
        <w:t>产学研深度融合 共创科技成果转化新篇章</w:t>
      </w:r>
    </w:p>
    <w:p w14:paraId="7192B2D1">
      <w:pPr>
        <w:adjustRightInd w:val="0"/>
        <w:snapToGrid w:val="0"/>
        <w:spacing w:line="540" w:lineRule="exact"/>
        <w:jc w:val="center"/>
        <w:rPr>
          <w:rFonts w:ascii="方正小标宋_GBK" w:hAnsi="方正小标宋_GBK" w:eastAsia="方正小标宋_GBK" w:cs="方正小标宋_GBK"/>
          <w:bCs/>
          <w:color w:val="000000"/>
          <w:sz w:val="32"/>
          <w:szCs w:val="32"/>
        </w:rPr>
      </w:pPr>
      <w:r>
        <w:rPr>
          <w:rFonts w:hint="eastAsia" w:ascii="方正小标宋_GBK" w:hAnsi="方正小标宋_GBK" w:eastAsia="方正小标宋_GBK" w:cs="方正小标宋_GBK"/>
          <w:bCs/>
          <w:color w:val="000000"/>
          <w:sz w:val="32"/>
          <w:szCs w:val="32"/>
        </w:rPr>
        <w:t>“科创中国”深圳专家服务团走访中高端装备制造企业</w:t>
      </w:r>
    </w:p>
    <w:p w14:paraId="40201BCD">
      <w:pPr>
        <w:spacing w:line="540" w:lineRule="exact"/>
        <w:ind w:firstLine="640" w:firstLineChars="200"/>
        <w:rPr>
          <w:rFonts w:ascii="仿宋_GB2312" w:hAnsi="仿宋_GB2312" w:eastAsia="仿宋_GB2312" w:cs="仿宋_GB2312"/>
          <w:sz w:val="32"/>
          <w:szCs w:val="32"/>
        </w:rPr>
      </w:pPr>
    </w:p>
    <w:p w14:paraId="673A713E">
      <w:pPr>
        <w:spacing w:line="540" w:lineRule="exact"/>
        <w:ind w:firstLine="640" w:firstLineChars="200"/>
      </w:pPr>
      <w:r>
        <w:rPr>
          <w:rFonts w:hint="eastAsia" w:ascii="仿宋_GB2312" w:hAnsi="仿宋_GB2312" w:eastAsia="仿宋_GB2312" w:cs="仿宋_GB2312"/>
          <w:sz w:val="32"/>
          <w:szCs w:val="32"/>
        </w:rPr>
        <w:t>8月1日，深圳市科技成果转化促进会联合“科创中国”深圳专家服务团，对深圳亚士德科技股份有限公司（以下简称“亚士德科技”）和深圳市优界科技有限公司（以下简称“优界科技”）开展了深度走访与专业服务。以南方科技大学机械与能源工程系副系主任葛锜为首的专家服务团一行人，与亚士德科技人资行政部经理黄璐、优界科技高级工程经理黄香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技术经理</w:t>
      </w:r>
      <w:r>
        <w:rPr>
          <w:rFonts w:hint="eastAsia" w:ascii="仿宋_GB2312" w:hAnsi="仿宋_GB2312" w:eastAsia="仿宋_GB2312" w:cs="仿宋_GB2312"/>
          <w:sz w:val="32"/>
          <w:szCs w:val="32"/>
          <w:lang w:eastAsia="zh-CN"/>
        </w:rPr>
        <w:t>萧俊超</w:t>
      </w:r>
      <w:r>
        <w:rPr>
          <w:rFonts w:hint="eastAsia" w:ascii="仿宋_GB2312" w:hAnsi="仿宋_GB2312" w:eastAsia="仿宋_GB2312" w:cs="仿宋_GB2312"/>
          <w:sz w:val="32"/>
          <w:szCs w:val="32"/>
        </w:rPr>
        <w:t>等高层以及技术团队开展了深入对话和交流。</w:t>
      </w:r>
    </w:p>
    <w:p w14:paraId="41848823">
      <w:pPr>
        <w:pStyle w:val="6"/>
        <w:widowControl/>
        <w:spacing w:beforeAutospacing="0" w:afterAutospacing="0" w:line="240" w:lineRule="atLeast"/>
        <w:jc w:val="center"/>
      </w:pPr>
      <w:r>
        <w:drawing>
          <wp:inline distT="0" distB="0" distL="114300" distR="114300">
            <wp:extent cx="5492115" cy="3661410"/>
            <wp:effectExtent l="0" t="0" r="13335" b="1524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rcRect t="5557" b="5557"/>
                    <a:stretch>
                      <a:fillRect/>
                    </a:stretch>
                  </pic:blipFill>
                  <pic:spPr>
                    <a:xfrm>
                      <a:off x="0" y="0"/>
                      <a:ext cx="5492115" cy="3661410"/>
                    </a:xfrm>
                    <a:prstGeom prst="rect">
                      <a:avLst/>
                    </a:prstGeom>
                    <a:noFill/>
                    <a:ln w="9525">
                      <a:noFill/>
                    </a:ln>
                  </pic:spPr>
                </pic:pic>
              </a:graphicData>
            </a:graphic>
          </wp:inline>
        </w:drawing>
      </w:r>
    </w:p>
    <w:p w14:paraId="0D6B9066">
      <w:pPr>
        <w:spacing w:line="240" w:lineRule="atLeast"/>
        <w:jc w:val="left"/>
        <w:rPr>
          <w:rFonts w:ascii="仿宋_GB2312" w:hAnsi="仿宋_GB2312" w:eastAsia="仿宋_GB2312" w:cs="仿宋_GB2312"/>
          <w:sz w:val="32"/>
          <w:szCs w:val="32"/>
        </w:rPr>
      </w:pPr>
      <w:r>
        <w:rPr>
          <w:rFonts w:hint="eastAsia" w:ascii="楷体" w:hAnsi="楷体" w:eastAsia="楷体" w:cs="楷体"/>
          <w:sz w:val="24"/>
        </w:rPr>
        <w:t>专家</w:t>
      </w:r>
      <w:r>
        <w:rPr>
          <w:rFonts w:hint="eastAsia" w:ascii="楷体" w:hAnsi="楷体" w:eastAsia="楷体" w:cs="楷体"/>
          <w:sz w:val="24"/>
          <w:lang w:val="en-US" w:eastAsia="zh-CN"/>
        </w:rPr>
        <w:t>服务</w:t>
      </w:r>
      <w:r>
        <w:rPr>
          <w:rFonts w:hint="eastAsia" w:ascii="楷体" w:hAnsi="楷体" w:eastAsia="楷体" w:cs="楷体"/>
          <w:sz w:val="24"/>
        </w:rPr>
        <w:t>团走访企业</w:t>
      </w:r>
    </w:p>
    <w:p w14:paraId="4E2D4D76">
      <w:pPr>
        <w:adjustRightInd w:val="0"/>
        <w:snapToGrid w:val="0"/>
        <w:spacing w:line="54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在亚士德科技，专家</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团成员在黄璐的陪同下，了解了企业的生产运营状况、技术创新成果以及未来发展规划。针对企业提出的</w:t>
      </w:r>
      <w:r>
        <w:rPr>
          <w:rFonts w:hint="eastAsia" w:ascii="仿宋_GB2312" w:hAnsi="仿宋_GB2312" w:eastAsia="仿宋_GB2312" w:cs="仿宋_GB2312"/>
          <w:bCs/>
          <w:color w:val="000000"/>
          <w:sz w:val="32"/>
          <w:szCs w:val="32"/>
          <w:lang w:val="en-US" w:eastAsia="zh-CN"/>
        </w:rPr>
        <w:t>可持续</w:t>
      </w:r>
      <w:r>
        <w:rPr>
          <w:rFonts w:hint="eastAsia" w:ascii="仿宋_GB2312" w:hAnsi="仿宋_GB2312" w:eastAsia="仿宋_GB2312" w:cs="仿宋_GB2312"/>
          <w:bCs/>
          <w:color w:val="000000"/>
          <w:sz w:val="32"/>
          <w:szCs w:val="32"/>
        </w:rPr>
        <w:t>材料研发过程中的瓶颈，如性能提升、成本控制及市场接受度等具体问题，葛锜详细分析了国内外相关领域的最新研究成果和技术趋势，提出了见解与建议。同时他还指出，亚士德科技在这一领域的前瞻性探索不仅是对国家绿色低碳战略的有力响应，也是推动行业向绿色低碳转型的关键一环。下一步，专家</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团表示将对接现有科研资源，推动产学研深度融合，</w:t>
      </w:r>
      <w:r>
        <w:rPr>
          <w:rFonts w:ascii="仿宋_GB2312" w:hAnsi="仿宋_GB2312" w:eastAsia="仿宋_GB2312" w:cs="仿宋_GB2312"/>
          <w:bCs/>
          <w:color w:val="000000"/>
          <w:sz w:val="32"/>
          <w:szCs w:val="32"/>
        </w:rPr>
        <w:t>探索</w:t>
      </w:r>
      <w:r>
        <w:rPr>
          <w:rFonts w:hint="eastAsia" w:ascii="仿宋_GB2312" w:hAnsi="仿宋_GB2312" w:eastAsia="仿宋_GB2312" w:cs="仿宋_GB2312"/>
          <w:bCs/>
          <w:color w:val="000000"/>
          <w:sz w:val="32"/>
          <w:szCs w:val="32"/>
        </w:rPr>
        <w:t>可持续</w:t>
      </w:r>
      <w:r>
        <w:rPr>
          <w:rFonts w:ascii="仿宋_GB2312" w:hAnsi="仿宋_GB2312" w:eastAsia="仿宋_GB2312" w:cs="仿宋_GB2312"/>
          <w:bCs/>
          <w:color w:val="000000"/>
          <w:sz w:val="32"/>
          <w:szCs w:val="32"/>
        </w:rPr>
        <w:t>材料</w:t>
      </w:r>
      <w:r>
        <w:rPr>
          <w:rFonts w:hint="eastAsia" w:ascii="仿宋_GB2312" w:hAnsi="仿宋_GB2312" w:eastAsia="仿宋_GB2312" w:cs="仿宋_GB2312"/>
          <w:bCs/>
          <w:color w:val="000000"/>
          <w:sz w:val="32"/>
          <w:szCs w:val="32"/>
        </w:rPr>
        <w:t>研究</w:t>
      </w:r>
      <w:r>
        <w:rPr>
          <w:rFonts w:ascii="仿宋_GB2312" w:hAnsi="仿宋_GB2312" w:eastAsia="仿宋_GB2312" w:cs="仿宋_GB2312"/>
          <w:bCs/>
          <w:color w:val="000000"/>
          <w:sz w:val="32"/>
          <w:szCs w:val="32"/>
        </w:rPr>
        <w:t>新边界</w:t>
      </w:r>
      <w:r>
        <w:rPr>
          <w:rFonts w:hint="eastAsia" w:ascii="仿宋_GB2312" w:hAnsi="仿宋_GB2312" w:eastAsia="仿宋_GB2312" w:cs="仿宋_GB2312"/>
          <w:bCs/>
          <w:color w:val="000000"/>
          <w:sz w:val="32"/>
          <w:szCs w:val="32"/>
        </w:rPr>
        <w:t>，以创新驱动企业绿色高质量发展。</w:t>
      </w:r>
    </w:p>
    <w:p w14:paraId="71271BD9">
      <w:pPr>
        <w:adjustRightInd w:val="0"/>
        <w:snapToGrid w:val="0"/>
        <w:spacing w:line="240" w:lineRule="atLeas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drawing>
          <wp:inline distT="0" distB="0" distL="114300" distR="114300">
            <wp:extent cx="5410200" cy="3606800"/>
            <wp:effectExtent l="0" t="0" r="0" b="12700"/>
            <wp:docPr id="2" name="图片 2" descr="bafb2b09-93e7-44ad-9dd1-90c27c787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fb2b09-93e7-44ad-9dd1-90c27c787d6b"/>
                    <pic:cNvPicPr>
                      <a:picLocks noChangeAspect="1"/>
                    </pic:cNvPicPr>
                  </pic:nvPicPr>
                  <pic:blipFill>
                    <a:blip r:embed="rId6"/>
                    <a:srcRect t="5563" b="5563"/>
                    <a:stretch>
                      <a:fillRect/>
                    </a:stretch>
                  </pic:blipFill>
                  <pic:spPr>
                    <a:xfrm>
                      <a:off x="0" y="0"/>
                      <a:ext cx="5410200" cy="3606800"/>
                    </a:xfrm>
                    <a:prstGeom prst="rect">
                      <a:avLst/>
                    </a:prstGeom>
                  </pic:spPr>
                </pic:pic>
              </a:graphicData>
            </a:graphic>
          </wp:inline>
        </w:drawing>
      </w:r>
    </w:p>
    <w:p w14:paraId="5E4578D9">
      <w:pPr>
        <w:adjustRightInd w:val="0"/>
        <w:snapToGrid w:val="0"/>
        <w:spacing w:line="240" w:lineRule="atLeast"/>
        <w:rPr>
          <w:rFonts w:ascii="楷体" w:hAnsi="楷体" w:eastAsia="楷体" w:cs="楷体"/>
          <w:sz w:val="24"/>
        </w:rPr>
      </w:pPr>
      <w:r>
        <w:rPr>
          <w:rFonts w:hint="eastAsia" w:ascii="楷体" w:hAnsi="楷体" w:eastAsia="楷体" w:cs="楷体"/>
          <w:sz w:val="24"/>
        </w:rPr>
        <w:t>专家</w:t>
      </w:r>
      <w:r>
        <w:rPr>
          <w:rFonts w:hint="eastAsia" w:ascii="楷体" w:hAnsi="楷体" w:eastAsia="楷体" w:cs="楷体"/>
          <w:sz w:val="24"/>
          <w:lang w:val="en-US" w:eastAsia="zh-CN"/>
        </w:rPr>
        <w:t>服务</w:t>
      </w:r>
      <w:r>
        <w:rPr>
          <w:rFonts w:hint="eastAsia" w:ascii="楷体" w:hAnsi="楷体" w:eastAsia="楷体" w:cs="楷体"/>
          <w:sz w:val="24"/>
        </w:rPr>
        <w:t>团与企业进行交流</w:t>
      </w:r>
    </w:p>
    <w:p w14:paraId="7783B14E">
      <w:pPr>
        <w:adjustRightInd w:val="0"/>
        <w:snapToGrid w:val="0"/>
        <w:spacing w:line="54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在优界科技，黄香山向专家团成员介绍了企业在半导体、新能源汽车、智能制造等领域的最新产品和技术突破，同时也表达了在技术升级和市场拓展方面的迫切需求，并与葛锜就高分子树脂材料的在3D打印领域的应用专门进行了交流，探讨其在降本增效、加快产品更新迭代等方面的潜力。葛锜对企业的发展愿景表示高度认可，并</w:t>
      </w:r>
      <w:r>
        <w:rPr>
          <w:rFonts w:ascii="仿宋_GB2312" w:hAnsi="仿宋_GB2312" w:eastAsia="仿宋_GB2312" w:cs="仿宋_GB2312"/>
          <w:bCs/>
          <w:color w:val="000000"/>
          <w:sz w:val="32"/>
          <w:szCs w:val="32"/>
        </w:rPr>
        <w:t>提出了多项创新思路</w:t>
      </w:r>
      <w:r>
        <w:rPr>
          <w:rFonts w:hint="eastAsia" w:ascii="仿宋_GB2312" w:hAnsi="仿宋_GB2312" w:eastAsia="仿宋_GB2312" w:cs="仿宋_GB2312"/>
          <w:bCs/>
          <w:color w:val="000000"/>
          <w:sz w:val="32"/>
          <w:szCs w:val="32"/>
        </w:rPr>
        <w:t>。他指出，优界科技可进一步拓展UV光固化树脂材料市场，充分利用3D打印技术的高效性与灵活性，实现产品的快速打样和定制化生产，</w:t>
      </w:r>
      <w:r>
        <w:rPr>
          <w:rFonts w:ascii="仿宋_GB2312" w:hAnsi="仿宋_GB2312" w:eastAsia="仿宋_GB2312" w:cs="仿宋_GB2312"/>
          <w:bCs/>
          <w:color w:val="000000"/>
          <w:sz w:val="32"/>
          <w:szCs w:val="32"/>
        </w:rPr>
        <w:t>为客户提供个性化解决方案</w:t>
      </w:r>
      <w:r>
        <w:rPr>
          <w:rFonts w:hint="eastAsia" w:ascii="仿宋_GB2312" w:hAnsi="仿宋_GB2312" w:eastAsia="仿宋_GB2312" w:cs="仿宋_GB2312"/>
          <w:bCs/>
          <w:color w:val="000000"/>
          <w:sz w:val="32"/>
          <w:szCs w:val="32"/>
        </w:rPr>
        <w:t>。针对企业在高性能塑胶、金属材料的产业升级需求，专家</w:t>
      </w:r>
      <w:r>
        <w:rPr>
          <w:rFonts w:hint="eastAsia" w:ascii="仿宋_GB2312" w:hAnsi="仿宋_GB2312" w:eastAsia="仿宋_GB2312" w:cs="仿宋_GB2312"/>
          <w:bCs/>
          <w:color w:val="000000"/>
          <w:sz w:val="32"/>
          <w:szCs w:val="32"/>
          <w:lang w:val="en-US" w:eastAsia="zh-CN"/>
        </w:rPr>
        <w:t>服务</w:t>
      </w:r>
      <w:r>
        <w:rPr>
          <w:rFonts w:hint="eastAsia" w:ascii="仿宋_GB2312" w:hAnsi="仿宋_GB2312" w:eastAsia="仿宋_GB2312" w:cs="仿宋_GB2312"/>
          <w:bCs/>
          <w:color w:val="000000"/>
          <w:sz w:val="32"/>
          <w:szCs w:val="32"/>
        </w:rPr>
        <w:t>团表示将充分利用自身平台优势，积极对接相关领域的专家与技术资源，为企业发展注入新动能。</w:t>
      </w:r>
    </w:p>
    <w:p w14:paraId="55842D1B">
      <w:pPr>
        <w:pStyle w:val="6"/>
        <w:widowControl/>
        <w:spacing w:beforeAutospacing="0" w:afterAutospacing="0" w:line="240" w:lineRule="atLeast"/>
      </w:pPr>
      <w:r>
        <w:drawing>
          <wp:inline distT="0" distB="0" distL="114300" distR="114300">
            <wp:extent cx="5674995" cy="3783330"/>
            <wp:effectExtent l="0" t="0" r="1905" b="762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rcRect t="5557" b="5557"/>
                    <a:stretch>
                      <a:fillRect/>
                    </a:stretch>
                  </pic:blipFill>
                  <pic:spPr>
                    <a:xfrm>
                      <a:off x="0" y="0"/>
                      <a:ext cx="5674995" cy="3783330"/>
                    </a:xfrm>
                    <a:prstGeom prst="rect">
                      <a:avLst/>
                    </a:prstGeom>
                    <a:noFill/>
                    <a:ln w="9525">
                      <a:noFill/>
                    </a:ln>
                  </pic:spPr>
                </pic:pic>
              </a:graphicData>
            </a:graphic>
          </wp:inline>
        </w:drawing>
      </w:r>
    </w:p>
    <w:p w14:paraId="38355123">
      <w:pPr>
        <w:adjustRightInd w:val="0"/>
        <w:snapToGrid w:val="0"/>
        <w:spacing w:line="240" w:lineRule="atLeast"/>
        <w:rPr>
          <w:rFonts w:ascii="仿宋_GB2312" w:hAnsi="仿宋_GB2312" w:eastAsia="仿宋_GB2312" w:cs="仿宋_GB2312"/>
          <w:bCs/>
          <w:color w:val="000000"/>
          <w:sz w:val="32"/>
          <w:szCs w:val="32"/>
        </w:rPr>
      </w:pPr>
      <w:r>
        <w:rPr>
          <w:rFonts w:hint="eastAsia" w:ascii="楷体" w:hAnsi="楷体" w:eastAsia="楷体" w:cs="楷体"/>
          <w:sz w:val="24"/>
        </w:rPr>
        <w:t>专家</w:t>
      </w:r>
      <w:r>
        <w:rPr>
          <w:rFonts w:hint="eastAsia" w:ascii="楷体" w:hAnsi="楷体" w:eastAsia="楷体" w:cs="楷体"/>
          <w:sz w:val="24"/>
          <w:lang w:val="en-US" w:eastAsia="zh-CN"/>
        </w:rPr>
        <w:t>服务</w:t>
      </w:r>
      <w:r>
        <w:rPr>
          <w:rFonts w:hint="eastAsia" w:ascii="楷体" w:hAnsi="楷体" w:eastAsia="楷体" w:cs="楷体"/>
          <w:sz w:val="24"/>
        </w:rPr>
        <w:t>团与企业代表合影</w:t>
      </w:r>
    </w:p>
    <w:p w14:paraId="1C8C3B3F">
      <w:pPr>
        <w:adjustRightInd w:val="0"/>
        <w:snapToGrid w:val="0"/>
        <w:spacing w:line="240" w:lineRule="atLeast"/>
        <w:jc w:val="left"/>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drawing>
          <wp:inline distT="0" distB="0" distL="114300" distR="114300">
            <wp:extent cx="5650230" cy="3766820"/>
            <wp:effectExtent l="0" t="0" r="7620" b="5080"/>
            <wp:docPr id="4" name="图片 4" descr="79db9b36-4e8b-4e76-91d5-f9db109b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db9b36-4e8b-4e76-91d5-f9db109b2271"/>
                    <pic:cNvPicPr>
                      <a:picLocks noChangeAspect="1"/>
                    </pic:cNvPicPr>
                  </pic:nvPicPr>
                  <pic:blipFill>
                    <a:blip r:embed="rId8"/>
                    <a:srcRect t="5557" b="5557"/>
                    <a:stretch>
                      <a:fillRect/>
                    </a:stretch>
                  </pic:blipFill>
                  <pic:spPr>
                    <a:xfrm>
                      <a:off x="0" y="0"/>
                      <a:ext cx="5650230" cy="3766820"/>
                    </a:xfrm>
                    <a:prstGeom prst="rect">
                      <a:avLst/>
                    </a:prstGeom>
                  </pic:spPr>
                </pic:pic>
              </a:graphicData>
            </a:graphic>
          </wp:inline>
        </w:drawing>
      </w:r>
    </w:p>
    <w:p w14:paraId="20B414EF">
      <w:pPr>
        <w:adjustRightInd w:val="0"/>
        <w:snapToGrid w:val="0"/>
        <w:rPr>
          <w:rFonts w:ascii="仿宋_GB2312" w:hAnsi="仿宋_GB2312" w:eastAsia="仿宋_GB2312" w:cs="仿宋_GB2312"/>
          <w:bCs/>
          <w:color w:val="000000"/>
          <w:sz w:val="32"/>
          <w:szCs w:val="32"/>
        </w:rPr>
      </w:pPr>
      <w:r>
        <w:rPr>
          <w:rFonts w:hint="eastAsia" w:ascii="楷体" w:hAnsi="楷体" w:eastAsia="楷体" w:cs="楷体"/>
          <w:sz w:val="24"/>
        </w:rPr>
        <w:t>专家</w:t>
      </w:r>
      <w:r>
        <w:rPr>
          <w:rFonts w:hint="eastAsia" w:ascii="楷体" w:hAnsi="楷体" w:eastAsia="楷体" w:cs="楷体"/>
          <w:sz w:val="24"/>
          <w:lang w:val="en-US" w:eastAsia="zh-CN"/>
        </w:rPr>
        <w:t>服务</w:t>
      </w:r>
      <w:r>
        <w:rPr>
          <w:rFonts w:hint="eastAsia" w:ascii="楷体" w:hAnsi="楷体" w:eastAsia="楷体" w:cs="楷体"/>
          <w:sz w:val="24"/>
        </w:rPr>
        <w:t>团与企业代表合影</w:t>
      </w:r>
    </w:p>
    <w:p w14:paraId="127DB112">
      <w:pPr>
        <w:adjustRightInd w:val="0"/>
        <w:snapToGrid w:val="0"/>
        <w:spacing w:line="540" w:lineRule="exact"/>
        <w:ind w:firstLine="640" w:firstLineChars="200"/>
        <w:rPr>
          <w:rFonts w:ascii="仿宋_GB2312" w:hAnsi="仿宋_GB2312" w:eastAsia="仿宋_GB2312" w:cs="仿宋_GB2312"/>
          <w:bCs/>
          <w:color w:val="000000"/>
          <w:sz w:val="32"/>
          <w:szCs w:val="32"/>
          <w:shd w:val="clear" w:color="auto" w:fill="FFFF00"/>
        </w:rPr>
      </w:pPr>
      <w:r>
        <w:rPr>
          <w:rFonts w:hint="eastAsia" w:ascii="仿宋_GB2312" w:hAnsi="仿宋_GB2312" w:eastAsia="仿宋_GB2312" w:cs="仿宋_GB2312"/>
          <w:bCs/>
          <w:color w:val="000000"/>
          <w:sz w:val="32"/>
          <w:szCs w:val="32"/>
        </w:rPr>
        <w:t>对于此次专家服务团的走访活动，受访企业在高度认可之余，还表示将以此为契机，与专家团建立长效沟通机制，加速核心技术突破。据了解，</w:t>
      </w:r>
      <w:r>
        <w:rPr>
          <w:rFonts w:hint="eastAsia" w:ascii="仿宋_GB2312" w:hAnsi="仿宋_GB2312" w:eastAsia="仿宋_GB2312" w:cs="仿宋_GB2312"/>
          <w:sz w:val="32"/>
          <w:szCs w:val="32"/>
        </w:rPr>
        <w:t>深圳科技成果转化促进会与</w:t>
      </w:r>
      <w:r>
        <w:rPr>
          <w:rFonts w:hint="eastAsia" w:ascii="仿宋_GB2312" w:hAnsi="仿宋_GB2312" w:eastAsia="仿宋_GB2312" w:cs="仿宋_GB2312"/>
          <w:bCs/>
          <w:color w:val="000000"/>
          <w:sz w:val="32"/>
          <w:szCs w:val="32"/>
        </w:rPr>
        <w:t>“科创中国”深圳专家服务团将依计划持续开展相关走访与交流活动，为企业提供技术指导、政策解读等全方位的服务支持，进一步搭建多层次、多领域、多形式的交流平台，共同推动“科创中国”深圳试点城市建设做深做实，全面打造科技成果转化、展示窗口，</w:t>
      </w:r>
      <w:r>
        <w:rPr>
          <w:rFonts w:hint="eastAsia" w:ascii="仿宋_GB2312" w:hAnsi="仿宋_GB2312" w:eastAsia="仿宋_GB2312" w:cs="仿宋_GB2312"/>
          <w:bCs/>
          <w:color w:val="000000" w:themeColor="text1"/>
          <w:sz w:val="32"/>
          <w:szCs w:val="32"/>
          <w14:textFill>
            <w14:solidFill>
              <w14:schemeClr w14:val="tx1"/>
            </w14:solidFill>
          </w14:textFill>
        </w:rPr>
        <w:t>助力科创企业</w:t>
      </w:r>
      <w:r>
        <w:rPr>
          <w:rFonts w:hint="eastAsia" w:ascii="仿宋_GB2312" w:hAnsi="仿宋_GB2312" w:eastAsia="仿宋_GB2312" w:cs="仿宋_GB2312"/>
          <w:bCs/>
          <w:color w:val="000000"/>
          <w:sz w:val="32"/>
          <w:szCs w:val="32"/>
        </w:rPr>
        <w:t>高质量发展。</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7E94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27333">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027333">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MjJlMmVlMWYyMzI0MzY4MzhjZTlmMTRlNGI0OGYifQ=="/>
  </w:docVars>
  <w:rsids>
    <w:rsidRoot w:val="FFEFEDC4"/>
    <w:rsid w:val="002533F5"/>
    <w:rsid w:val="00254CC3"/>
    <w:rsid w:val="00274F10"/>
    <w:rsid w:val="00334213"/>
    <w:rsid w:val="00336BF6"/>
    <w:rsid w:val="00344B92"/>
    <w:rsid w:val="00346961"/>
    <w:rsid w:val="00360A1F"/>
    <w:rsid w:val="00376D81"/>
    <w:rsid w:val="003D20D8"/>
    <w:rsid w:val="00413DD4"/>
    <w:rsid w:val="004B39BE"/>
    <w:rsid w:val="006C3BC1"/>
    <w:rsid w:val="006F1B64"/>
    <w:rsid w:val="00797C58"/>
    <w:rsid w:val="00806730"/>
    <w:rsid w:val="0094721F"/>
    <w:rsid w:val="00953407"/>
    <w:rsid w:val="009B04EF"/>
    <w:rsid w:val="009D305B"/>
    <w:rsid w:val="00AE4304"/>
    <w:rsid w:val="00AE4718"/>
    <w:rsid w:val="00B3154C"/>
    <w:rsid w:val="00B41A9A"/>
    <w:rsid w:val="00D4580C"/>
    <w:rsid w:val="00DE2E35"/>
    <w:rsid w:val="00DF4A4F"/>
    <w:rsid w:val="00E112C4"/>
    <w:rsid w:val="00E71C3E"/>
    <w:rsid w:val="00EC14DE"/>
    <w:rsid w:val="00FA0455"/>
    <w:rsid w:val="00FF5659"/>
    <w:rsid w:val="013C06BC"/>
    <w:rsid w:val="02536F4E"/>
    <w:rsid w:val="03D714FF"/>
    <w:rsid w:val="03DB3730"/>
    <w:rsid w:val="07D54B3C"/>
    <w:rsid w:val="09890592"/>
    <w:rsid w:val="09D31940"/>
    <w:rsid w:val="0FF56606"/>
    <w:rsid w:val="10E92E6E"/>
    <w:rsid w:val="1651709F"/>
    <w:rsid w:val="172338E2"/>
    <w:rsid w:val="17DF339A"/>
    <w:rsid w:val="18950986"/>
    <w:rsid w:val="189E343F"/>
    <w:rsid w:val="1C00080C"/>
    <w:rsid w:val="1C9D605B"/>
    <w:rsid w:val="1CD134CE"/>
    <w:rsid w:val="1D175E0D"/>
    <w:rsid w:val="1EB458DE"/>
    <w:rsid w:val="1FFF5E98"/>
    <w:rsid w:val="205253AE"/>
    <w:rsid w:val="2A16744D"/>
    <w:rsid w:val="2AA2281D"/>
    <w:rsid w:val="2D3FFB1A"/>
    <w:rsid w:val="2E7F1A64"/>
    <w:rsid w:val="2EAB2859"/>
    <w:rsid w:val="2F3C9F75"/>
    <w:rsid w:val="2FEF1F07"/>
    <w:rsid w:val="31C83722"/>
    <w:rsid w:val="321005AF"/>
    <w:rsid w:val="33176FF2"/>
    <w:rsid w:val="35FF657B"/>
    <w:rsid w:val="36C92DD5"/>
    <w:rsid w:val="3BDC22A4"/>
    <w:rsid w:val="3CF32227"/>
    <w:rsid w:val="40FA31CC"/>
    <w:rsid w:val="457C0654"/>
    <w:rsid w:val="457D5AD8"/>
    <w:rsid w:val="4BC92A64"/>
    <w:rsid w:val="4BFC67AA"/>
    <w:rsid w:val="4D677E3B"/>
    <w:rsid w:val="4DEB0B2F"/>
    <w:rsid w:val="4F9107EE"/>
    <w:rsid w:val="4FE319FB"/>
    <w:rsid w:val="519A258E"/>
    <w:rsid w:val="531243A6"/>
    <w:rsid w:val="53EB5322"/>
    <w:rsid w:val="57055ED6"/>
    <w:rsid w:val="5971183C"/>
    <w:rsid w:val="5BCF552A"/>
    <w:rsid w:val="5C074CC3"/>
    <w:rsid w:val="5D691E8B"/>
    <w:rsid w:val="5E287173"/>
    <w:rsid w:val="5E9A373F"/>
    <w:rsid w:val="5FFB3E09"/>
    <w:rsid w:val="62522A10"/>
    <w:rsid w:val="63623F7B"/>
    <w:rsid w:val="63FE4BFE"/>
    <w:rsid w:val="654F72B8"/>
    <w:rsid w:val="66666A8A"/>
    <w:rsid w:val="6A67369E"/>
    <w:rsid w:val="6BBD9DC2"/>
    <w:rsid w:val="6D5C223C"/>
    <w:rsid w:val="6E3A4A84"/>
    <w:rsid w:val="6E6C4E5A"/>
    <w:rsid w:val="6E7F7C60"/>
    <w:rsid w:val="705A140E"/>
    <w:rsid w:val="72AC1CC9"/>
    <w:rsid w:val="7773D645"/>
    <w:rsid w:val="7BEB0968"/>
    <w:rsid w:val="7C6449F5"/>
    <w:rsid w:val="7EFF7E8E"/>
    <w:rsid w:val="7F348908"/>
    <w:rsid w:val="7FB770AB"/>
    <w:rsid w:val="B7DC69AE"/>
    <w:rsid w:val="DDFEAABD"/>
    <w:rsid w:val="DF550925"/>
    <w:rsid w:val="DF5A6FCA"/>
    <w:rsid w:val="DFEDDC50"/>
    <w:rsid w:val="DFFED55C"/>
    <w:rsid w:val="DFFF732E"/>
    <w:rsid w:val="F57544D9"/>
    <w:rsid w:val="F6F4665A"/>
    <w:rsid w:val="FB774046"/>
    <w:rsid w:val="FC7C08C9"/>
    <w:rsid w:val="FF1B0A48"/>
    <w:rsid w:val="FF7F75B9"/>
    <w:rsid w:val="FF9E59FE"/>
    <w:rsid w:val="FFD7617B"/>
    <w:rsid w:val="FFEFE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PlainText"/>
    <w:basedOn w:val="1"/>
    <w:autoRedefine/>
    <w:qFormat/>
    <w:uiPriority w:val="0"/>
    <w:pPr>
      <w:textAlignment w:val="baseline"/>
    </w:pPr>
    <w:rPr>
      <w:rFonts w:ascii="宋体" w:hAnsi="Courier New" w:eastAsia="宋体" w:cs="Times New Roman"/>
    </w:rPr>
  </w:style>
  <w:style w:type="paragraph" w:customStyle="1" w:styleId="12">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1022</Words>
  <Characters>1025</Characters>
  <Lines>1</Lines>
  <Paragraphs>2</Paragraphs>
  <TotalTime>19</TotalTime>
  <ScaleCrop>false</ScaleCrop>
  <LinksUpToDate>false</LinksUpToDate>
  <CharactersWithSpaces>1026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2024-08-02T06:51:00Z</dcterms:created>
  <dc:creator>lyt</dc:creator>
  <cp:lastModifiedBy>sj</cp:lastModifiedBy>
  <cp:lastPrinted>2024-07-03T01:43:00Z</cp:lastPrinted>
  <dcterms:modified xsi:type="dcterms:W3CDTF">2024-08-02T08:07:13Z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82414D7E947A43BFB1180B334E3EA827_13</vt:lpwstr>
  </property>
</Properties>
</file>