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E227C">
      <w:pPr>
        <w:rPr>
          <w:rFonts w:hint="eastAsia" w:ascii="黑体" w:hAnsi="Times New Roman" w:eastAsia="黑体" w:cs="Times New Roman"/>
          <w:sz w:val="32"/>
          <w:szCs w:val="32"/>
          <w:lang w:eastAsia="zh-CN"/>
        </w:rPr>
      </w:pPr>
      <w:bookmarkStart w:id="0" w:name="_GoBack"/>
      <w:bookmarkEnd w:id="0"/>
      <w:r>
        <w:rPr>
          <w:rFonts w:hint="eastAsia" w:ascii="黑体" w:hAnsi="Times New Roman" w:eastAsia="黑体" w:cs="Times New Roman"/>
          <w:sz w:val="32"/>
          <w:szCs w:val="32"/>
        </w:rPr>
        <w:t>附件</w:t>
      </w:r>
      <w:r>
        <w:rPr>
          <w:rFonts w:hint="eastAsia" w:ascii="黑体" w:hAnsi="Times New Roman" w:eastAsia="黑体" w:cs="Times New Roman"/>
          <w:sz w:val="32"/>
          <w:szCs w:val="32"/>
          <w:lang w:val="en-US" w:eastAsia="zh-CN"/>
        </w:rPr>
        <w:t>1</w:t>
      </w:r>
    </w:p>
    <w:p w14:paraId="0D757683">
      <w:pPr>
        <w:pStyle w:val="4"/>
        <w:adjustRightInd w:val="0"/>
        <w:snapToGrid w:val="0"/>
        <w:spacing w:line="560" w:lineRule="exact"/>
        <w:ind w:firstLine="640"/>
        <w:rPr>
          <w:rFonts w:ascii="Times New Roman" w:hAnsi="Times New Roman" w:eastAsia="宋体" w:cs="Times New Roman"/>
        </w:rPr>
      </w:pPr>
    </w:p>
    <w:p w14:paraId="77F201F6">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2025年度省新旧动能转换重大产业攻关</w:t>
      </w:r>
    </w:p>
    <w:p w14:paraId="33948A8B">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项目申报指南</w:t>
      </w:r>
    </w:p>
    <w:p w14:paraId="76650E09">
      <w:pPr>
        <w:pStyle w:val="4"/>
        <w:adjustRightInd w:val="0"/>
        <w:snapToGrid w:val="0"/>
        <w:spacing w:line="560" w:lineRule="exact"/>
        <w:ind w:firstLine="880"/>
        <w:rPr>
          <w:rFonts w:hint="eastAsia" w:ascii="华文中宋" w:hAnsi="华文中宋" w:eastAsia="华文中宋" w:cs="华文中宋"/>
          <w:sz w:val="44"/>
          <w:szCs w:val="44"/>
        </w:rPr>
      </w:pPr>
    </w:p>
    <w:p w14:paraId="7488CB9A">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黑体" w:hAnsi="黑体" w:eastAsia="黑体" w:cs="黑体"/>
          <w:kern w:val="0"/>
          <w:szCs w:val="32"/>
        </w:rPr>
      </w:pPr>
      <w:r>
        <w:rPr>
          <w:rFonts w:hint="eastAsia" w:ascii="黑体" w:hAnsi="黑体" w:eastAsia="黑体" w:cs="黑体"/>
          <w:kern w:val="0"/>
          <w:szCs w:val="32"/>
        </w:rPr>
        <w:t>一、申报类别</w:t>
      </w:r>
    </w:p>
    <w:p w14:paraId="6998483D">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Cs w:val="32"/>
        </w:rPr>
      </w:pPr>
      <w:r>
        <w:rPr>
          <w:rFonts w:hint="eastAsia" w:ascii="仿宋_GB2312" w:hAnsi="仿宋_GB2312" w:eastAsia="仿宋_GB2312" w:cs="仿宋_GB2312"/>
          <w:bCs/>
          <w:szCs w:val="32"/>
        </w:rPr>
        <w:t>本期攻关项目类别分为重大技术创新攻关</w:t>
      </w:r>
      <w:r>
        <w:rPr>
          <w:rFonts w:hint="eastAsia" w:ascii="仿宋_GB2312" w:hAnsi="仿宋_GB2312" w:eastAsia="仿宋_GB2312" w:cs="仿宋_GB2312"/>
          <w:szCs w:val="32"/>
        </w:rPr>
        <w:t>类、业态模式创新攻关类、场景创新攻关类共三大类。</w:t>
      </w:r>
    </w:p>
    <w:p w14:paraId="14A139A5">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eastAsia="仿宋_GB2312"/>
          <w:szCs w:val="32"/>
        </w:rPr>
      </w:pPr>
      <w:r>
        <w:rPr>
          <w:rFonts w:hint="eastAsia" w:ascii="仿宋_GB2312" w:hAnsi="仿宋_GB2312" w:eastAsia="仿宋_GB2312" w:cs="仿宋_GB2312"/>
          <w:bCs/>
          <w:szCs w:val="32"/>
        </w:rPr>
        <w:t>（一）重大技术创新攻关类</w:t>
      </w:r>
      <w:r>
        <w:rPr>
          <w:rFonts w:hint="eastAsia" w:ascii="仿宋_GB2312" w:hAnsi="仿宋_GB2312" w:eastAsia="仿宋_GB2312" w:cs="仿宋_GB2312"/>
          <w:szCs w:val="32"/>
        </w:rPr>
        <w:t>：聚焦</w:t>
      </w:r>
      <w:r>
        <w:rPr>
          <w:rFonts w:hint="eastAsia" w:eastAsia="仿宋_GB2312"/>
          <w:szCs w:val="32"/>
        </w:rPr>
        <w:t>科技创新成果向新质生产力转化</w:t>
      </w:r>
      <w:r>
        <w:rPr>
          <w:rFonts w:hint="eastAsia" w:ascii="仿宋_GB2312" w:hAnsi="仿宋_GB2312" w:eastAsia="仿宋_GB2312" w:cs="仿宋_GB2312"/>
          <w:szCs w:val="32"/>
        </w:rPr>
        <w:t>，</w:t>
      </w:r>
      <w:r>
        <w:rPr>
          <w:rFonts w:hint="eastAsia" w:eastAsia="仿宋_GB2312"/>
          <w:szCs w:val="32"/>
        </w:rPr>
        <w:t>以“重大技术突破+产业化”的方式，形成更具竞争优势的生产能力或使用效能的产业化项目。</w:t>
      </w:r>
    </w:p>
    <w:p w14:paraId="65B0C2D3">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eastAsia="仿宋_GB2312"/>
          <w:szCs w:val="32"/>
        </w:rPr>
      </w:pPr>
      <w:r>
        <w:rPr>
          <w:rFonts w:hint="eastAsia" w:eastAsia="仿宋_GB2312"/>
          <w:szCs w:val="32"/>
        </w:rPr>
        <w:t>（二）业态模式创新攻关类：聚焦数智技术与产业创新深度融合，</w:t>
      </w:r>
      <w:r>
        <w:rPr>
          <w:rFonts w:hint="eastAsia" w:ascii="仿宋_GB2312" w:hAnsi="宋体" w:eastAsia="仿宋_GB2312" w:cs="仿宋_GB2312"/>
          <w:color w:val="000000"/>
          <w:szCs w:val="32"/>
          <w:shd w:val="clear" w:color="auto" w:fill="FFFFFF"/>
        </w:rPr>
        <w:t>通过平台化设计、数字化管理、个性化定制等应用模式，推出</w:t>
      </w:r>
      <w:r>
        <w:rPr>
          <w:rFonts w:hint="eastAsia" w:eastAsia="仿宋_GB2312"/>
          <w:szCs w:val="32"/>
        </w:rPr>
        <w:t>具备创造性和前瞻性，能够引领行业创新和变革的产业形态、商业模式产业化项目。</w:t>
      </w:r>
    </w:p>
    <w:p w14:paraId="05D2FE04">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Cs w:val="32"/>
        </w:rPr>
      </w:pPr>
      <w:r>
        <w:rPr>
          <w:rFonts w:hint="eastAsia" w:eastAsia="仿宋_GB2312"/>
          <w:szCs w:val="32"/>
        </w:rPr>
        <w:t>（三）场景创新攻关类：</w:t>
      </w:r>
      <w:r>
        <w:rPr>
          <w:rFonts w:hint="eastAsia" w:ascii="仿宋_GB2312" w:hAnsi="仿宋_GB2312" w:eastAsia="仿宋_GB2312" w:cs="仿宋_GB2312"/>
          <w:szCs w:val="32"/>
        </w:rPr>
        <w:t>聚焦产业升级、智能制造、资源共享、项目建设等场景，运用数智技术推动新技术、新产品、新方案实现规模化验证应用和示范推广的项目。</w:t>
      </w:r>
    </w:p>
    <w:p w14:paraId="75F65D26">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黑体" w:hAnsi="黑体" w:eastAsia="黑体" w:cs="黑体"/>
          <w:kern w:val="0"/>
          <w:szCs w:val="32"/>
        </w:rPr>
      </w:pPr>
      <w:r>
        <w:rPr>
          <w:rFonts w:hint="eastAsia" w:ascii="黑体" w:hAnsi="黑体" w:eastAsia="黑体" w:cs="黑体"/>
          <w:kern w:val="0"/>
          <w:szCs w:val="32"/>
        </w:rPr>
        <w:t>二、申报领域</w:t>
      </w:r>
    </w:p>
    <w:p w14:paraId="0DA18C77">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eastAsia="仿宋_GB2312"/>
          <w:szCs w:val="32"/>
        </w:rPr>
      </w:pPr>
      <w:r>
        <w:rPr>
          <w:rFonts w:hint="eastAsia" w:eastAsia="仿宋_GB2312"/>
          <w:szCs w:val="32"/>
        </w:rPr>
        <w:t>（一）新一代信息技术产业，重点支持大数据、云计算、工业互联网、虚拟现实、集成电路、高端软件、</w:t>
      </w:r>
      <w:r>
        <w:rPr>
          <w:rFonts w:hint="eastAsia" w:ascii="仿宋_GB2312" w:hAnsi="仿宋_GB2312" w:eastAsia="仿宋_GB2312" w:cs="仿宋_GB2312"/>
          <w:bCs/>
          <w:szCs w:val="32"/>
        </w:rPr>
        <w:t>5G</w:t>
      </w:r>
      <w:r>
        <w:rPr>
          <w:rFonts w:hint="eastAsia" w:eastAsia="仿宋_GB2312"/>
          <w:szCs w:val="32"/>
        </w:rPr>
        <w:t>、超高清视频、人工智能、区块链、卫星应用、量子信息等领域；</w:t>
      </w:r>
    </w:p>
    <w:p w14:paraId="110C35D6">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eastAsia="仿宋_GB2312"/>
          <w:szCs w:val="32"/>
        </w:rPr>
      </w:pPr>
      <w:r>
        <w:rPr>
          <w:rFonts w:hint="eastAsia" w:eastAsia="仿宋_GB2312"/>
          <w:szCs w:val="32"/>
        </w:rPr>
        <w:t>（二）高端装备产业，重点支持低空经济、工程机械、农机装备、工业母机、激光装备、轨道交通、氢燃料电池、节能环保装备、机器人、仪器仪表等领域；</w:t>
      </w:r>
    </w:p>
    <w:p w14:paraId="105652B9">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eastAsia="仿宋_GB2312"/>
          <w:szCs w:val="32"/>
        </w:rPr>
      </w:pPr>
      <w:r>
        <w:rPr>
          <w:rFonts w:hint="eastAsia" w:eastAsia="仿宋_GB2312"/>
          <w:szCs w:val="32"/>
        </w:rPr>
        <w:t>（三）新能源产业，重点支持海上风电、太阳能、生物质能、核能等新能源推广应用，新能源汽车、海上风电、光伏发电、核电、氢能、智能电网及储能等新能源装备等领域；</w:t>
      </w:r>
    </w:p>
    <w:p w14:paraId="1C932056">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eastAsia="仿宋_GB2312"/>
          <w:szCs w:val="32"/>
        </w:rPr>
      </w:pPr>
      <w:r>
        <w:rPr>
          <w:rFonts w:hint="eastAsia" w:eastAsia="仿宋_GB2312"/>
          <w:szCs w:val="32"/>
        </w:rPr>
        <w:t>（四）新材料产业，重点支持石墨烯、</w:t>
      </w:r>
      <w:r>
        <w:rPr>
          <w:rFonts w:hint="eastAsia" w:ascii="仿宋_GB2312" w:hAnsi="仿宋_GB2312" w:eastAsia="仿宋_GB2312" w:cs="仿宋_GB2312"/>
          <w:bCs/>
          <w:szCs w:val="32"/>
        </w:rPr>
        <w:t>3D</w:t>
      </w:r>
      <w:r>
        <w:rPr>
          <w:rFonts w:hint="eastAsia" w:eastAsia="仿宋_GB2312"/>
          <w:szCs w:val="32"/>
        </w:rPr>
        <w:t>打印材料、新兴功能材料等前沿新材料，高性能纤维及复合材料、稀土功能材料、新能源材料等关键战略材料，先进钢铁材料、先进有色金属材料等先进基础材料；</w:t>
      </w:r>
    </w:p>
    <w:p w14:paraId="25CC5933">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eastAsia="仿宋_GB2312"/>
          <w:szCs w:val="32"/>
        </w:rPr>
      </w:pPr>
      <w:r>
        <w:rPr>
          <w:rFonts w:hint="eastAsia" w:eastAsia="仿宋_GB2312"/>
          <w:szCs w:val="32"/>
        </w:rPr>
        <w:t>（五）现代海洋产业，重点支持海洋工程装备及高技术船舶、海洋生物医药、海水淡化及综合利用、涉海高端服务、海洋环保等海洋新兴产业；</w:t>
      </w:r>
    </w:p>
    <w:p w14:paraId="0018AEE3">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eastAsia="仿宋_GB2312"/>
          <w:szCs w:val="32"/>
        </w:rPr>
      </w:pPr>
      <w:r>
        <w:rPr>
          <w:rFonts w:hint="eastAsia" w:eastAsia="仿宋_GB2312"/>
          <w:szCs w:val="32"/>
        </w:rPr>
        <w:t>（六）医养健康产业，重点支持医疗服务、健康教育与管理、健康养老、生物医药、高性能医疗器械与装备、中医中药、体育健身、健康旅游、健康食品、健康大数据等领域；</w:t>
      </w:r>
    </w:p>
    <w:p w14:paraId="02CF701B">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eastAsia="仿宋_GB2312"/>
          <w:szCs w:val="32"/>
        </w:rPr>
      </w:pPr>
      <w:r>
        <w:rPr>
          <w:rFonts w:hint="eastAsia" w:eastAsia="仿宋_GB2312"/>
          <w:szCs w:val="32"/>
        </w:rPr>
        <w:t>（七）高端化工产业，重点支持化工新材料、海洋化工、绿色煤化工、精细化工等领域；</w:t>
      </w:r>
    </w:p>
    <w:p w14:paraId="10CEB0AD">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eastAsia="仿宋_GB2312"/>
          <w:szCs w:val="32"/>
        </w:rPr>
      </w:pPr>
      <w:r>
        <w:rPr>
          <w:rFonts w:hint="eastAsia" w:eastAsia="仿宋_GB2312"/>
          <w:szCs w:val="32"/>
        </w:rPr>
        <w:t>（八）现代高效农业，重点支持现代种业、规模种养业、绿色投入品、耕地保护与质量提升、农产品冷链物流、乡村新型服务业和休闲农业等领域；</w:t>
      </w:r>
    </w:p>
    <w:p w14:paraId="0E192D87">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eastAsia="仿宋_GB2312"/>
          <w:szCs w:val="32"/>
        </w:rPr>
      </w:pPr>
      <w:r>
        <w:rPr>
          <w:rFonts w:hint="eastAsia" w:eastAsia="仿宋_GB2312"/>
          <w:szCs w:val="32"/>
        </w:rPr>
        <w:t>（九）文化创意产业，重点支持山东手造、创意设计、文化智能制造、影视创意、网络视听、动漫游戏、数字演艺娱乐、文化会展、数字出版与绿色印刷、研学文旅等领域；</w:t>
      </w:r>
    </w:p>
    <w:p w14:paraId="747FF3F3">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eastAsia="仿宋_GB2312"/>
          <w:szCs w:val="32"/>
        </w:rPr>
      </w:pPr>
      <w:r>
        <w:rPr>
          <w:rFonts w:hint="eastAsia" w:eastAsia="仿宋_GB2312"/>
          <w:szCs w:val="32"/>
        </w:rPr>
        <w:t>（十）精品旅游产业，重点支持黄河文化、大运河（山东段）文化、齐长城文化、旅游景区产品提升、城市休闲旅游、红色旅游、乡村旅游、海洋旅游、旅游新业态、数字文旅等旅游领域；</w:t>
      </w:r>
    </w:p>
    <w:p w14:paraId="5EC2F928">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eastAsia="仿宋_GB2312"/>
          <w:szCs w:val="32"/>
        </w:rPr>
      </w:pPr>
      <w:r>
        <w:rPr>
          <w:rFonts w:hint="eastAsia" w:eastAsia="仿宋_GB2312"/>
          <w:szCs w:val="32"/>
        </w:rPr>
        <w:t>（十一）现代金融服务业，重点支持金融提升服务实体经济功能，大力发展普惠金融、科技金融、绿色金融、海洋金融、文化金融等新型金融服务；</w:t>
      </w:r>
    </w:p>
    <w:p w14:paraId="33527CBF">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eastAsia="仿宋_GB2312"/>
          <w:szCs w:val="32"/>
        </w:rPr>
      </w:pPr>
      <w:r>
        <w:rPr>
          <w:rFonts w:hint="eastAsia" w:eastAsia="仿宋_GB2312"/>
          <w:szCs w:val="32"/>
        </w:rPr>
        <w:t>（十二）现代轻工纺织产业，重点支持高端纺织服装制造、智能绿色印染、高端智能家电、食品功能化高值化精深加工、生物发酵绿色化生产、高附加值纸、浆纸清洁生产及应用、家具绿色智能生产等领域；</w:t>
      </w:r>
    </w:p>
    <w:p w14:paraId="09D584F8">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（十三）其他，包含推动绿色低碳高质量发展的重大技术产业化项目。</w:t>
      </w:r>
    </w:p>
    <w:p w14:paraId="4653C84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三、申报条件</w:t>
      </w:r>
    </w:p>
    <w:p w14:paraId="42D903D2">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bCs/>
          <w:szCs w:val="32"/>
        </w:rPr>
      </w:pPr>
      <w:r>
        <w:rPr>
          <w:rFonts w:hint="eastAsia" w:ascii="仿宋_GB2312" w:hAnsi="仿宋_GB2312" w:eastAsia="仿宋_GB2312" w:cs="仿宋_GB2312"/>
          <w:bCs/>
          <w:szCs w:val="32"/>
        </w:rPr>
        <w:t>申报单位应为山东省行政区域内依法注册的企业，具有独立法人资格，正常运营2年以上，具备健全规范的财务管理制度，所申报项目在山东省域内落地实施。</w:t>
      </w:r>
    </w:p>
    <w:p w14:paraId="20CEFAF8">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bCs/>
          <w:szCs w:val="32"/>
        </w:rPr>
      </w:pPr>
      <w:r>
        <w:rPr>
          <w:rFonts w:hint="eastAsia" w:ascii="仿宋_GB2312" w:hAnsi="仿宋_GB2312" w:eastAsia="仿宋_GB2312" w:cs="仿宋_GB2312"/>
          <w:bCs/>
          <w:szCs w:val="32"/>
        </w:rPr>
        <w:t>（一）</w:t>
      </w:r>
      <w:r>
        <w:rPr>
          <w:rFonts w:hint="eastAsia" w:eastAsia="仿宋_GB2312"/>
          <w:szCs w:val="32"/>
        </w:rPr>
        <w:t>申报</w:t>
      </w:r>
      <w:r>
        <w:rPr>
          <w:rFonts w:hint="eastAsia" w:ascii="仿宋_GB2312" w:hAnsi="仿宋_GB2312" w:eastAsia="仿宋_GB2312" w:cs="仿宋_GB2312"/>
          <w:bCs/>
          <w:szCs w:val="32"/>
        </w:rPr>
        <w:t>重大技术创新攻关类、</w:t>
      </w:r>
      <w:r>
        <w:rPr>
          <w:rFonts w:hint="eastAsia" w:eastAsia="仿宋_GB2312"/>
          <w:szCs w:val="32"/>
        </w:rPr>
        <w:t>业态模式创新攻关类</w:t>
      </w:r>
      <w:r>
        <w:rPr>
          <w:rFonts w:hint="eastAsia" w:ascii="仿宋_GB2312" w:hAnsi="仿宋_GB2312" w:eastAsia="仿宋_GB2312" w:cs="仿宋_GB2312"/>
          <w:bCs/>
          <w:szCs w:val="32"/>
        </w:rPr>
        <w:t>项目应当符合以下条件：</w:t>
      </w:r>
    </w:p>
    <w:p w14:paraId="73C49D90">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bCs/>
          <w:szCs w:val="32"/>
        </w:rPr>
      </w:pPr>
      <w:r>
        <w:rPr>
          <w:rFonts w:hint="eastAsia" w:ascii="仿宋_GB2312" w:hAnsi="仿宋_GB2312" w:eastAsia="仿宋_GB2312" w:cs="仿宋_GB2312"/>
          <w:bCs/>
          <w:szCs w:val="32"/>
        </w:rPr>
        <w:t>1.允许申报单位联合高校、科研院所、新型研发机构、产业智库（不包括党政机关或参公管理的事业单位）等共同申报，联合攻关单位限1家，需签订联合攻关协议，约定各自承担的攻关任务、双方责任及知识产权归属问题等，申报单位对产业攻关全过程负总责。</w:t>
      </w:r>
    </w:p>
    <w:p w14:paraId="25754681">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bCs/>
          <w:szCs w:val="32"/>
        </w:rPr>
      </w:pPr>
      <w:r>
        <w:rPr>
          <w:rFonts w:hint="eastAsia" w:ascii="仿宋_GB2312" w:hAnsi="仿宋_GB2312" w:eastAsia="仿宋_GB2312" w:cs="仿宋_GB2312"/>
          <w:bCs/>
          <w:szCs w:val="32"/>
        </w:rPr>
        <w:t>2.</w:t>
      </w:r>
      <w:r>
        <w:rPr>
          <w:rFonts w:hint="eastAsia" w:eastAsia="仿宋_GB2312"/>
          <w:szCs w:val="32"/>
        </w:rPr>
        <w:t>在</w:t>
      </w:r>
      <w:r>
        <w:rPr>
          <w:rFonts w:hint="eastAsia" w:ascii="仿宋_GB2312" w:hAnsi="仿宋_GB2312" w:eastAsia="仿宋_GB2312" w:cs="仿宋_GB2312"/>
          <w:bCs/>
          <w:szCs w:val="32"/>
        </w:rPr>
        <w:t>本产业领域获得授权发明专利达到10项以上。如与联合攻关单位共同申报，10项发明专利中申报单位自有发明专利应不少于5项。申报现代高效农业、现代轻工纺织产业，获得授权发明专利应达到8项以上，如与联合攻关单位共同申报，8项发明专利中申报单位自有发明专利应不少于4项；文化创意、精品旅游、现代金融服务产业，发明专利数量不限，作为项目评审的重要参考。</w:t>
      </w:r>
    </w:p>
    <w:p w14:paraId="54755CE9">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bCs/>
          <w:szCs w:val="32"/>
        </w:rPr>
      </w:pPr>
      <w:r>
        <w:rPr>
          <w:rFonts w:hint="eastAsia" w:ascii="仿宋_GB2312" w:hAnsi="仿宋_GB2312" w:eastAsia="仿宋_GB2312" w:cs="仿宋_GB2312"/>
          <w:bCs/>
          <w:szCs w:val="32"/>
        </w:rPr>
        <w:t>3.申报单位</w:t>
      </w:r>
      <w:r>
        <w:rPr>
          <w:rFonts w:hint="eastAsia" w:eastAsia="仿宋_GB2312"/>
          <w:szCs w:val="32"/>
        </w:rPr>
        <w:t>上年度研发经费应占主营业</w:t>
      </w:r>
      <w:r>
        <w:rPr>
          <w:rFonts w:hint="eastAsia" w:ascii="仿宋_GB2312" w:hAnsi="仿宋_GB2312" w:eastAsia="仿宋_GB2312" w:cs="仿宋_GB2312"/>
          <w:bCs/>
          <w:szCs w:val="32"/>
        </w:rPr>
        <w:t>务收入4%以上。现代高效农业、文化创意、精品旅游</w:t>
      </w:r>
      <w:r>
        <w:rPr>
          <w:rFonts w:hint="eastAsia" w:eastAsia="仿宋_GB2312"/>
          <w:szCs w:val="32"/>
        </w:rPr>
        <w:t>、现代金融服务、现代轻工纺织产业项目企业研发经费</w:t>
      </w:r>
      <w:r>
        <w:rPr>
          <w:rFonts w:hint="eastAsia" w:ascii="仿宋_GB2312" w:hAnsi="仿宋_GB2312" w:eastAsia="仿宋_GB2312" w:cs="仿宋_GB2312"/>
          <w:bCs/>
          <w:szCs w:val="32"/>
        </w:rPr>
        <w:t>占比放宽至3.5%。</w:t>
      </w:r>
    </w:p>
    <w:p w14:paraId="57B8B863">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bCs/>
          <w:szCs w:val="32"/>
        </w:rPr>
      </w:pPr>
      <w:r>
        <w:rPr>
          <w:rFonts w:hint="eastAsia" w:ascii="仿宋_GB2312" w:hAnsi="仿宋_GB2312" w:eastAsia="仿宋_GB2312" w:cs="仿宋_GB2312"/>
          <w:bCs/>
          <w:szCs w:val="32"/>
        </w:rPr>
        <w:t>4.</w:t>
      </w:r>
      <w:r>
        <w:rPr>
          <w:rFonts w:hint="eastAsia" w:ascii="仿宋_GB2312" w:hAnsi="仿宋_GB2312" w:eastAsia="仿宋_GB2312" w:cs="仿宋_GB2312"/>
          <w:szCs w:val="32"/>
        </w:rPr>
        <w:t>应具备重大技术模式创新产业化的规模条件</w:t>
      </w:r>
      <w:r>
        <w:rPr>
          <w:rFonts w:hint="eastAsia" w:eastAsia="仿宋_GB2312"/>
          <w:szCs w:val="32"/>
        </w:rPr>
        <w:t>，投资额度原则上应不低于</w:t>
      </w:r>
      <w:r>
        <w:rPr>
          <w:rFonts w:hint="eastAsia" w:ascii="仿宋_GB2312" w:hAnsi="仿宋_GB2312" w:eastAsia="仿宋_GB2312" w:cs="仿宋_GB2312"/>
          <w:szCs w:val="32"/>
        </w:rPr>
        <w:t>2025</w:t>
      </w:r>
      <w:r>
        <w:rPr>
          <w:rFonts w:hint="eastAsia" w:eastAsia="仿宋_GB2312"/>
          <w:szCs w:val="32"/>
        </w:rPr>
        <w:t>年本产业省绿色低碳高质量发展重点项目平均水平（详见下表）。业态模式创新类</w:t>
      </w:r>
      <w:r>
        <w:rPr>
          <w:rFonts w:hint="eastAsia" w:ascii="仿宋_GB2312" w:hAnsi="宋体" w:eastAsia="仿宋_GB2312" w:cs="仿宋_GB2312"/>
          <w:szCs w:val="32"/>
          <w:shd w:val="clear" w:color="auto" w:fill="FFFFFF"/>
        </w:rPr>
        <w:t>项目</w:t>
      </w:r>
      <w:r>
        <w:rPr>
          <w:rFonts w:hint="eastAsia" w:eastAsia="仿宋_GB2312"/>
          <w:szCs w:val="32"/>
        </w:rPr>
        <w:t>投资规模适当放宽，作为项目评审的重要参考。</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769"/>
        <w:gridCol w:w="5301"/>
      </w:tblGrid>
      <w:tr w14:paraId="0D82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988" w:type="dxa"/>
            <w:noWrap w:val="0"/>
            <w:vAlign w:val="center"/>
          </w:tcPr>
          <w:p w14:paraId="0E78C8F7">
            <w:pPr>
              <w:pStyle w:val="4"/>
              <w:adjustRightInd w:val="0"/>
              <w:snapToGrid w:val="0"/>
              <w:spacing w:line="400" w:lineRule="exact"/>
              <w:ind w:firstLine="0" w:firstLineChars="0"/>
              <w:jc w:val="center"/>
              <w:rPr>
                <w:rFonts w:hint="eastAsia" w:ascii="黑体" w:hAnsi="黑体" w:eastAsia="黑体" w:cs="黑体"/>
                <w:bCs/>
                <w:sz w:val="28"/>
                <w:szCs w:val="28"/>
              </w:rPr>
            </w:pPr>
            <w:r>
              <w:rPr>
                <w:rFonts w:hint="eastAsia" w:ascii="黑体" w:hAnsi="黑体" w:eastAsia="黑体" w:cs="黑体"/>
                <w:bCs/>
                <w:sz w:val="28"/>
                <w:szCs w:val="28"/>
              </w:rPr>
              <w:t>序号</w:t>
            </w:r>
          </w:p>
        </w:tc>
        <w:tc>
          <w:tcPr>
            <w:tcW w:w="2769" w:type="dxa"/>
            <w:noWrap w:val="0"/>
            <w:vAlign w:val="center"/>
          </w:tcPr>
          <w:p w14:paraId="6661864E">
            <w:pPr>
              <w:pStyle w:val="4"/>
              <w:adjustRightInd w:val="0"/>
              <w:snapToGrid w:val="0"/>
              <w:spacing w:line="400" w:lineRule="exact"/>
              <w:ind w:firstLine="0" w:firstLineChars="0"/>
              <w:jc w:val="center"/>
              <w:rPr>
                <w:rFonts w:hint="eastAsia" w:ascii="黑体" w:hAnsi="黑体" w:eastAsia="黑体" w:cs="黑体"/>
                <w:bCs/>
                <w:sz w:val="28"/>
                <w:szCs w:val="28"/>
              </w:rPr>
            </w:pPr>
            <w:r>
              <w:rPr>
                <w:rFonts w:hint="eastAsia" w:ascii="黑体" w:hAnsi="黑体" w:eastAsia="黑体" w:cs="黑体"/>
                <w:bCs/>
                <w:sz w:val="28"/>
                <w:szCs w:val="28"/>
              </w:rPr>
              <w:t>产业名称</w:t>
            </w:r>
          </w:p>
        </w:tc>
        <w:tc>
          <w:tcPr>
            <w:tcW w:w="5301" w:type="dxa"/>
            <w:noWrap w:val="0"/>
            <w:vAlign w:val="center"/>
          </w:tcPr>
          <w:p w14:paraId="65801309">
            <w:pPr>
              <w:pStyle w:val="4"/>
              <w:adjustRightInd w:val="0"/>
              <w:snapToGrid w:val="0"/>
              <w:spacing w:line="400" w:lineRule="exact"/>
              <w:ind w:firstLine="0" w:firstLineChars="0"/>
              <w:jc w:val="center"/>
              <w:rPr>
                <w:rFonts w:hint="eastAsia" w:ascii="黑体" w:hAnsi="黑体" w:eastAsia="黑体" w:cs="黑体"/>
                <w:bCs/>
                <w:sz w:val="28"/>
                <w:szCs w:val="28"/>
              </w:rPr>
            </w:pPr>
            <w:r>
              <w:rPr>
                <w:rFonts w:hint="eastAsia" w:ascii="黑体" w:hAnsi="黑体" w:eastAsia="黑体" w:cs="黑体"/>
                <w:bCs/>
                <w:sz w:val="28"/>
                <w:szCs w:val="28"/>
              </w:rPr>
              <w:t>2025年省绿色低碳高质量发展重点项目</w:t>
            </w:r>
          </w:p>
          <w:p w14:paraId="6C80930E">
            <w:pPr>
              <w:pStyle w:val="4"/>
              <w:adjustRightInd w:val="0"/>
              <w:snapToGrid w:val="0"/>
              <w:spacing w:line="400" w:lineRule="exact"/>
              <w:ind w:firstLine="0" w:firstLineChars="0"/>
              <w:jc w:val="center"/>
              <w:rPr>
                <w:rFonts w:hint="eastAsia" w:ascii="黑体" w:hAnsi="黑体" w:eastAsia="黑体" w:cs="黑体"/>
                <w:bCs/>
                <w:sz w:val="28"/>
                <w:szCs w:val="28"/>
              </w:rPr>
            </w:pPr>
            <w:r>
              <w:rPr>
                <w:rFonts w:hint="eastAsia" w:ascii="黑体" w:hAnsi="黑体" w:eastAsia="黑体" w:cs="黑体"/>
                <w:bCs/>
                <w:sz w:val="28"/>
                <w:szCs w:val="28"/>
              </w:rPr>
              <w:t>平均投资规模（万元）</w:t>
            </w:r>
          </w:p>
        </w:tc>
      </w:tr>
      <w:tr w14:paraId="7FA8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noWrap w:val="0"/>
            <w:vAlign w:val="center"/>
          </w:tcPr>
          <w:p w14:paraId="5AA11D18">
            <w:pPr>
              <w:pStyle w:val="4"/>
              <w:adjustRightInd w:val="0"/>
              <w:snapToGrid w:val="0"/>
              <w:spacing w:line="400" w:lineRule="exact"/>
              <w:ind w:firstLine="0" w:firstLineChars="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p>
        </w:tc>
        <w:tc>
          <w:tcPr>
            <w:tcW w:w="2769" w:type="dxa"/>
            <w:noWrap w:val="0"/>
            <w:vAlign w:val="center"/>
          </w:tcPr>
          <w:p w14:paraId="3A1B6351">
            <w:pPr>
              <w:widowControl/>
              <w:adjustRightInd w:val="0"/>
              <w:snapToGrid w:val="0"/>
              <w:spacing w:line="400" w:lineRule="exact"/>
              <w:jc w:val="left"/>
              <w:textAlignment w:val="center"/>
              <w:rPr>
                <w:rFonts w:hint="eastAsia" w:ascii="仿宋_GB2312" w:hAnsi="仿宋_GB2312" w:eastAsia="仿宋_GB2312" w:cs="仿宋_GB2312"/>
                <w:bCs/>
                <w:sz w:val="28"/>
                <w:szCs w:val="28"/>
              </w:rPr>
            </w:pPr>
            <w:r>
              <w:rPr>
                <w:rFonts w:ascii="仿宋_GB2312" w:hAnsi="仿宋_GB2312" w:eastAsia="仿宋_GB2312" w:cs="仿宋_GB2312"/>
                <w:bCs/>
                <w:sz w:val="28"/>
                <w:szCs w:val="28"/>
              </w:rPr>
              <w:t>新一代信息技术</w:t>
            </w:r>
          </w:p>
        </w:tc>
        <w:tc>
          <w:tcPr>
            <w:tcW w:w="5301" w:type="dxa"/>
            <w:noWrap w:val="0"/>
            <w:vAlign w:val="center"/>
          </w:tcPr>
          <w:p w14:paraId="2DD3996D">
            <w:pPr>
              <w:pStyle w:val="4"/>
              <w:adjustRightInd w:val="0"/>
              <w:snapToGrid w:val="0"/>
              <w:spacing w:line="400" w:lineRule="exact"/>
              <w:ind w:firstLine="0" w:firstLineChars="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70000</w:t>
            </w:r>
          </w:p>
        </w:tc>
      </w:tr>
      <w:tr w14:paraId="65B5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noWrap w:val="0"/>
            <w:vAlign w:val="center"/>
          </w:tcPr>
          <w:p w14:paraId="4D4A75C2">
            <w:pPr>
              <w:pStyle w:val="4"/>
              <w:adjustRightInd w:val="0"/>
              <w:snapToGrid w:val="0"/>
              <w:spacing w:line="400" w:lineRule="exact"/>
              <w:ind w:firstLine="0" w:firstLineChars="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w:t>
            </w:r>
          </w:p>
        </w:tc>
        <w:tc>
          <w:tcPr>
            <w:tcW w:w="2769" w:type="dxa"/>
            <w:noWrap w:val="0"/>
            <w:vAlign w:val="center"/>
          </w:tcPr>
          <w:p w14:paraId="370103D2">
            <w:pPr>
              <w:widowControl/>
              <w:adjustRightInd w:val="0"/>
              <w:snapToGrid w:val="0"/>
              <w:spacing w:line="400" w:lineRule="exact"/>
              <w:jc w:val="left"/>
              <w:textAlignment w:val="center"/>
              <w:rPr>
                <w:rFonts w:hint="eastAsia" w:ascii="仿宋_GB2312" w:hAnsi="仿宋_GB2312" w:eastAsia="仿宋_GB2312" w:cs="仿宋_GB2312"/>
                <w:bCs/>
                <w:sz w:val="28"/>
                <w:szCs w:val="28"/>
              </w:rPr>
            </w:pPr>
            <w:r>
              <w:rPr>
                <w:rFonts w:ascii="仿宋_GB2312" w:hAnsi="仿宋_GB2312" w:eastAsia="仿宋_GB2312" w:cs="仿宋_GB2312"/>
                <w:bCs/>
                <w:sz w:val="28"/>
                <w:szCs w:val="28"/>
              </w:rPr>
              <w:t>高端装备</w:t>
            </w:r>
          </w:p>
        </w:tc>
        <w:tc>
          <w:tcPr>
            <w:tcW w:w="5301" w:type="dxa"/>
            <w:noWrap w:val="0"/>
            <w:vAlign w:val="center"/>
          </w:tcPr>
          <w:p w14:paraId="1388EFD7">
            <w:pPr>
              <w:pStyle w:val="4"/>
              <w:adjustRightInd w:val="0"/>
              <w:snapToGrid w:val="0"/>
              <w:spacing w:line="400" w:lineRule="exact"/>
              <w:ind w:firstLine="0" w:firstLineChars="0"/>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w:t>
            </w:r>
            <w:r>
              <w:rPr>
                <w:rFonts w:ascii="仿宋_GB2312" w:hAnsi="仿宋_GB2312" w:eastAsia="仿宋_GB2312" w:cs="仿宋_GB2312"/>
                <w:bCs/>
                <w:sz w:val="28"/>
                <w:szCs w:val="28"/>
              </w:rPr>
              <w:t>0000</w:t>
            </w:r>
          </w:p>
        </w:tc>
      </w:tr>
      <w:tr w14:paraId="5288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noWrap w:val="0"/>
            <w:vAlign w:val="center"/>
          </w:tcPr>
          <w:p w14:paraId="366B5669">
            <w:pPr>
              <w:pStyle w:val="4"/>
              <w:adjustRightInd w:val="0"/>
              <w:snapToGrid w:val="0"/>
              <w:spacing w:line="400" w:lineRule="exact"/>
              <w:ind w:firstLine="0" w:firstLineChars="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w:t>
            </w:r>
          </w:p>
        </w:tc>
        <w:tc>
          <w:tcPr>
            <w:tcW w:w="2769" w:type="dxa"/>
            <w:noWrap w:val="0"/>
            <w:vAlign w:val="center"/>
          </w:tcPr>
          <w:p w14:paraId="36439B35">
            <w:pPr>
              <w:widowControl/>
              <w:adjustRightInd w:val="0"/>
              <w:snapToGrid w:val="0"/>
              <w:spacing w:line="400" w:lineRule="exact"/>
              <w:jc w:val="left"/>
              <w:textAlignment w:val="center"/>
              <w:rPr>
                <w:rFonts w:hint="eastAsia" w:ascii="仿宋_GB2312" w:hAnsi="仿宋_GB2312" w:eastAsia="仿宋_GB2312" w:cs="仿宋_GB2312"/>
                <w:bCs/>
                <w:sz w:val="28"/>
                <w:szCs w:val="28"/>
              </w:rPr>
            </w:pPr>
            <w:r>
              <w:rPr>
                <w:rFonts w:ascii="仿宋_GB2312" w:hAnsi="仿宋_GB2312" w:eastAsia="仿宋_GB2312" w:cs="仿宋_GB2312"/>
                <w:bCs/>
                <w:sz w:val="28"/>
                <w:szCs w:val="28"/>
              </w:rPr>
              <w:t>新能源</w:t>
            </w:r>
          </w:p>
        </w:tc>
        <w:tc>
          <w:tcPr>
            <w:tcW w:w="5301" w:type="dxa"/>
            <w:noWrap w:val="0"/>
            <w:vAlign w:val="center"/>
          </w:tcPr>
          <w:p w14:paraId="61C971BD">
            <w:pPr>
              <w:pStyle w:val="4"/>
              <w:adjustRightInd w:val="0"/>
              <w:snapToGrid w:val="0"/>
              <w:spacing w:line="400" w:lineRule="exact"/>
              <w:ind w:firstLine="0" w:firstLineChars="0"/>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10</w:t>
            </w:r>
            <w:r>
              <w:rPr>
                <w:rFonts w:ascii="仿宋_GB2312" w:hAnsi="仿宋_GB2312" w:eastAsia="仿宋_GB2312" w:cs="仿宋_GB2312"/>
                <w:bCs/>
                <w:sz w:val="28"/>
                <w:szCs w:val="28"/>
              </w:rPr>
              <w:t>0000</w:t>
            </w:r>
          </w:p>
        </w:tc>
      </w:tr>
      <w:tr w14:paraId="34D4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noWrap w:val="0"/>
            <w:vAlign w:val="center"/>
          </w:tcPr>
          <w:p w14:paraId="09076FDB">
            <w:pPr>
              <w:pStyle w:val="4"/>
              <w:adjustRightInd w:val="0"/>
              <w:snapToGrid w:val="0"/>
              <w:spacing w:line="400" w:lineRule="exact"/>
              <w:ind w:firstLine="0" w:firstLineChars="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p>
        </w:tc>
        <w:tc>
          <w:tcPr>
            <w:tcW w:w="2769" w:type="dxa"/>
            <w:noWrap w:val="0"/>
            <w:vAlign w:val="center"/>
          </w:tcPr>
          <w:p w14:paraId="465C4BDB">
            <w:pPr>
              <w:widowControl/>
              <w:adjustRightInd w:val="0"/>
              <w:snapToGrid w:val="0"/>
              <w:spacing w:line="400" w:lineRule="exact"/>
              <w:jc w:val="left"/>
              <w:textAlignment w:val="center"/>
              <w:rPr>
                <w:rFonts w:hint="eastAsia" w:ascii="仿宋_GB2312" w:hAnsi="仿宋_GB2312" w:eastAsia="仿宋_GB2312" w:cs="仿宋_GB2312"/>
                <w:bCs/>
                <w:sz w:val="28"/>
                <w:szCs w:val="28"/>
              </w:rPr>
            </w:pPr>
            <w:r>
              <w:rPr>
                <w:rFonts w:ascii="仿宋_GB2312" w:hAnsi="仿宋_GB2312" w:eastAsia="仿宋_GB2312" w:cs="仿宋_GB2312"/>
                <w:bCs/>
                <w:sz w:val="28"/>
                <w:szCs w:val="28"/>
              </w:rPr>
              <w:t>新材料</w:t>
            </w:r>
          </w:p>
        </w:tc>
        <w:tc>
          <w:tcPr>
            <w:tcW w:w="5301" w:type="dxa"/>
            <w:noWrap w:val="0"/>
            <w:vAlign w:val="center"/>
          </w:tcPr>
          <w:p w14:paraId="6163B57C">
            <w:pPr>
              <w:pStyle w:val="4"/>
              <w:adjustRightInd w:val="0"/>
              <w:snapToGrid w:val="0"/>
              <w:spacing w:line="400" w:lineRule="exact"/>
              <w:ind w:firstLine="0" w:firstLineChars="0"/>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w:t>
            </w:r>
            <w:r>
              <w:rPr>
                <w:rFonts w:ascii="仿宋_GB2312" w:hAnsi="仿宋_GB2312" w:eastAsia="仿宋_GB2312" w:cs="仿宋_GB2312"/>
                <w:bCs/>
                <w:sz w:val="28"/>
                <w:szCs w:val="28"/>
              </w:rPr>
              <w:t>0000</w:t>
            </w:r>
          </w:p>
        </w:tc>
      </w:tr>
      <w:tr w14:paraId="216A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noWrap w:val="0"/>
            <w:vAlign w:val="center"/>
          </w:tcPr>
          <w:p w14:paraId="5E1B6387">
            <w:pPr>
              <w:pStyle w:val="4"/>
              <w:adjustRightInd w:val="0"/>
              <w:snapToGrid w:val="0"/>
              <w:spacing w:line="400" w:lineRule="exact"/>
              <w:ind w:firstLine="0" w:firstLineChars="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w:t>
            </w:r>
          </w:p>
        </w:tc>
        <w:tc>
          <w:tcPr>
            <w:tcW w:w="2769" w:type="dxa"/>
            <w:noWrap w:val="0"/>
            <w:vAlign w:val="center"/>
          </w:tcPr>
          <w:p w14:paraId="0BEE65BE">
            <w:pPr>
              <w:widowControl/>
              <w:adjustRightInd w:val="0"/>
              <w:snapToGrid w:val="0"/>
              <w:spacing w:line="400" w:lineRule="exact"/>
              <w:jc w:val="left"/>
              <w:textAlignment w:val="center"/>
              <w:rPr>
                <w:rFonts w:hint="eastAsia" w:ascii="仿宋_GB2312" w:hAnsi="仿宋_GB2312" w:eastAsia="仿宋_GB2312" w:cs="仿宋_GB2312"/>
                <w:bCs/>
                <w:sz w:val="28"/>
                <w:szCs w:val="28"/>
              </w:rPr>
            </w:pPr>
            <w:r>
              <w:rPr>
                <w:rFonts w:ascii="仿宋_GB2312" w:hAnsi="仿宋_GB2312" w:eastAsia="仿宋_GB2312" w:cs="仿宋_GB2312"/>
                <w:bCs/>
                <w:sz w:val="28"/>
                <w:szCs w:val="28"/>
              </w:rPr>
              <w:t>现代海洋</w:t>
            </w:r>
          </w:p>
        </w:tc>
        <w:tc>
          <w:tcPr>
            <w:tcW w:w="5301" w:type="dxa"/>
            <w:noWrap w:val="0"/>
            <w:vAlign w:val="center"/>
          </w:tcPr>
          <w:p w14:paraId="0A9A6468">
            <w:pPr>
              <w:pStyle w:val="4"/>
              <w:adjustRightInd w:val="0"/>
              <w:snapToGrid w:val="0"/>
              <w:spacing w:line="400" w:lineRule="exact"/>
              <w:ind w:firstLine="0" w:firstLineChars="0"/>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7</w:t>
            </w:r>
            <w:r>
              <w:rPr>
                <w:rFonts w:ascii="仿宋_GB2312" w:hAnsi="仿宋_GB2312" w:eastAsia="仿宋_GB2312" w:cs="仿宋_GB2312"/>
                <w:bCs/>
                <w:sz w:val="28"/>
                <w:szCs w:val="28"/>
              </w:rPr>
              <w:t>0000</w:t>
            </w:r>
          </w:p>
        </w:tc>
      </w:tr>
      <w:tr w14:paraId="14C1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noWrap w:val="0"/>
            <w:vAlign w:val="center"/>
          </w:tcPr>
          <w:p w14:paraId="3E2EBD80">
            <w:pPr>
              <w:pStyle w:val="4"/>
              <w:adjustRightInd w:val="0"/>
              <w:snapToGrid w:val="0"/>
              <w:spacing w:line="400" w:lineRule="exact"/>
              <w:ind w:firstLine="0" w:firstLineChars="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w:t>
            </w:r>
          </w:p>
        </w:tc>
        <w:tc>
          <w:tcPr>
            <w:tcW w:w="2769" w:type="dxa"/>
            <w:noWrap w:val="0"/>
            <w:vAlign w:val="center"/>
          </w:tcPr>
          <w:p w14:paraId="4E395B8C">
            <w:pPr>
              <w:widowControl/>
              <w:adjustRightInd w:val="0"/>
              <w:snapToGrid w:val="0"/>
              <w:spacing w:line="400" w:lineRule="exact"/>
              <w:jc w:val="left"/>
              <w:textAlignment w:val="center"/>
              <w:rPr>
                <w:rFonts w:hint="eastAsia" w:ascii="仿宋_GB2312" w:hAnsi="仿宋_GB2312" w:eastAsia="仿宋_GB2312" w:cs="仿宋_GB2312"/>
                <w:bCs/>
                <w:sz w:val="28"/>
                <w:szCs w:val="28"/>
              </w:rPr>
            </w:pPr>
            <w:r>
              <w:rPr>
                <w:rFonts w:ascii="仿宋_GB2312" w:hAnsi="仿宋_GB2312" w:eastAsia="仿宋_GB2312" w:cs="仿宋_GB2312"/>
                <w:bCs/>
                <w:sz w:val="28"/>
                <w:szCs w:val="28"/>
              </w:rPr>
              <w:t>医养健康</w:t>
            </w:r>
          </w:p>
        </w:tc>
        <w:tc>
          <w:tcPr>
            <w:tcW w:w="5301" w:type="dxa"/>
            <w:noWrap w:val="0"/>
            <w:vAlign w:val="center"/>
          </w:tcPr>
          <w:p w14:paraId="3D2CF17E">
            <w:pPr>
              <w:pStyle w:val="4"/>
              <w:adjustRightInd w:val="0"/>
              <w:snapToGrid w:val="0"/>
              <w:spacing w:line="400" w:lineRule="exact"/>
              <w:ind w:firstLine="0" w:firstLineChars="0"/>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40</w:t>
            </w:r>
            <w:r>
              <w:rPr>
                <w:rFonts w:ascii="仿宋_GB2312" w:hAnsi="仿宋_GB2312" w:eastAsia="仿宋_GB2312" w:cs="仿宋_GB2312"/>
                <w:bCs/>
                <w:sz w:val="28"/>
                <w:szCs w:val="28"/>
              </w:rPr>
              <w:t>000</w:t>
            </w:r>
          </w:p>
        </w:tc>
      </w:tr>
      <w:tr w14:paraId="778E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noWrap w:val="0"/>
            <w:vAlign w:val="center"/>
          </w:tcPr>
          <w:p w14:paraId="266E4510">
            <w:pPr>
              <w:pStyle w:val="4"/>
              <w:adjustRightInd w:val="0"/>
              <w:snapToGrid w:val="0"/>
              <w:spacing w:line="400" w:lineRule="exact"/>
              <w:ind w:firstLine="0" w:firstLineChars="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w:t>
            </w:r>
          </w:p>
        </w:tc>
        <w:tc>
          <w:tcPr>
            <w:tcW w:w="2769" w:type="dxa"/>
            <w:noWrap w:val="0"/>
            <w:vAlign w:val="center"/>
          </w:tcPr>
          <w:p w14:paraId="11DEB94B">
            <w:pPr>
              <w:widowControl/>
              <w:adjustRightInd w:val="0"/>
              <w:snapToGrid w:val="0"/>
              <w:spacing w:line="400" w:lineRule="exact"/>
              <w:jc w:val="left"/>
              <w:textAlignment w:val="center"/>
              <w:rPr>
                <w:rFonts w:hint="eastAsia" w:ascii="仿宋_GB2312" w:hAnsi="仿宋_GB2312" w:eastAsia="仿宋_GB2312" w:cs="仿宋_GB2312"/>
                <w:bCs/>
                <w:sz w:val="28"/>
                <w:szCs w:val="28"/>
              </w:rPr>
            </w:pPr>
            <w:r>
              <w:rPr>
                <w:rFonts w:ascii="仿宋_GB2312" w:hAnsi="仿宋_GB2312" w:eastAsia="仿宋_GB2312" w:cs="仿宋_GB2312"/>
                <w:bCs/>
                <w:sz w:val="28"/>
                <w:szCs w:val="28"/>
              </w:rPr>
              <w:t>高端化工</w:t>
            </w:r>
          </w:p>
        </w:tc>
        <w:tc>
          <w:tcPr>
            <w:tcW w:w="5301" w:type="dxa"/>
            <w:noWrap w:val="0"/>
            <w:vAlign w:val="center"/>
          </w:tcPr>
          <w:p w14:paraId="2AF043AF">
            <w:pPr>
              <w:pStyle w:val="4"/>
              <w:adjustRightInd w:val="0"/>
              <w:snapToGrid w:val="0"/>
              <w:spacing w:line="400" w:lineRule="exact"/>
              <w:ind w:firstLine="0" w:firstLineChars="0"/>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7</w:t>
            </w:r>
            <w:r>
              <w:rPr>
                <w:rFonts w:ascii="仿宋_GB2312" w:hAnsi="仿宋_GB2312" w:eastAsia="仿宋_GB2312" w:cs="仿宋_GB2312"/>
                <w:bCs/>
                <w:sz w:val="28"/>
                <w:szCs w:val="28"/>
              </w:rPr>
              <w:t>0000</w:t>
            </w:r>
          </w:p>
        </w:tc>
      </w:tr>
      <w:tr w14:paraId="1169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noWrap w:val="0"/>
            <w:vAlign w:val="center"/>
          </w:tcPr>
          <w:p w14:paraId="2B352322">
            <w:pPr>
              <w:pStyle w:val="4"/>
              <w:adjustRightInd w:val="0"/>
              <w:snapToGrid w:val="0"/>
              <w:spacing w:line="400" w:lineRule="exact"/>
              <w:ind w:firstLine="0" w:firstLineChars="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8</w:t>
            </w:r>
          </w:p>
        </w:tc>
        <w:tc>
          <w:tcPr>
            <w:tcW w:w="2769" w:type="dxa"/>
            <w:noWrap w:val="0"/>
            <w:vAlign w:val="center"/>
          </w:tcPr>
          <w:p w14:paraId="17D625AF">
            <w:pPr>
              <w:widowControl/>
              <w:adjustRightInd w:val="0"/>
              <w:snapToGrid w:val="0"/>
              <w:spacing w:line="400" w:lineRule="exact"/>
              <w:jc w:val="left"/>
              <w:textAlignment w:val="center"/>
              <w:rPr>
                <w:rFonts w:hint="eastAsia" w:ascii="仿宋_GB2312" w:hAnsi="仿宋_GB2312" w:eastAsia="仿宋_GB2312" w:cs="仿宋_GB2312"/>
                <w:bCs/>
                <w:sz w:val="28"/>
                <w:szCs w:val="28"/>
              </w:rPr>
            </w:pPr>
            <w:r>
              <w:rPr>
                <w:rFonts w:ascii="仿宋_GB2312" w:hAnsi="仿宋_GB2312" w:eastAsia="仿宋_GB2312" w:cs="仿宋_GB2312"/>
                <w:bCs/>
                <w:sz w:val="28"/>
                <w:szCs w:val="28"/>
              </w:rPr>
              <w:t>现代高效农业</w:t>
            </w:r>
          </w:p>
        </w:tc>
        <w:tc>
          <w:tcPr>
            <w:tcW w:w="5301" w:type="dxa"/>
            <w:noWrap w:val="0"/>
            <w:vAlign w:val="center"/>
          </w:tcPr>
          <w:p w14:paraId="14BE99BE">
            <w:pPr>
              <w:pStyle w:val="4"/>
              <w:adjustRightInd w:val="0"/>
              <w:snapToGrid w:val="0"/>
              <w:spacing w:line="400" w:lineRule="exact"/>
              <w:ind w:firstLine="0" w:firstLineChars="0"/>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60</w:t>
            </w:r>
            <w:r>
              <w:rPr>
                <w:rFonts w:ascii="仿宋_GB2312" w:hAnsi="仿宋_GB2312" w:eastAsia="仿宋_GB2312" w:cs="仿宋_GB2312"/>
                <w:bCs/>
                <w:sz w:val="28"/>
                <w:szCs w:val="28"/>
              </w:rPr>
              <w:t>000</w:t>
            </w:r>
          </w:p>
        </w:tc>
      </w:tr>
      <w:tr w14:paraId="0897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noWrap w:val="0"/>
            <w:vAlign w:val="center"/>
          </w:tcPr>
          <w:p w14:paraId="59B7AF2F">
            <w:pPr>
              <w:pStyle w:val="4"/>
              <w:adjustRightInd w:val="0"/>
              <w:snapToGrid w:val="0"/>
              <w:spacing w:line="400" w:lineRule="exact"/>
              <w:ind w:firstLine="0" w:firstLineChars="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9</w:t>
            </w:r>
          </w:p>
        </w:tc>
        <w:tc>
          <w:tcPr>
            <w:tcW w:w="2769" w:type="dxa"/>
            <w:noWrap w:val="0"/>
            <w:vAlign w:val="center"/>
          </w:tcPr>
          <w:p w14:paraId="4A912A3B">
            <w:pPr>
              <w:widowControl/>
              <w:adjustRightInd w:val="0"/>
              <w:snapToGrid w:val="0"/>
              <w:spacing w:line="400" w:lineRule="exact"/>
              <w:jc w:val="left"/>
              <w:textAlignment w:val="center"/>
              <w:rPr>
                <w:rFonts w:hint="eastAsia" w:ascii="仿宋_GB2312" w:hAnsi="仿宋_GB2312" w:eastAsia="仿宋_GB2312" w:cs="仿宋_GB2312"/>
                <w:bCs/>
                <w:sz w:val="28"/>
                <w:szCs w:val="28"/>
              </w:rPr>
            </w:pPr>
            <w:r>
              <w:rPr>
                <w:rFonts w:ascii="仿宋_GB2312" w:hAnsi="仿宋_GB2312" w:eastAsia="仿宋_GB2312" w:cs="仿宋_GB2312"/>
                <w:bCs/>
                <w:sz w:val="28"/>
                <w:szCs w:val="28"/>
              </w:rPr>
              <w:t>文化创意</w:t>
            </w:r>
          </w:p>
        </w:tc>
        <w:tc>
          <w:tcPr>
            <w:tcW w:w="5301" w:type="dxa"/>
            <w:noWrap w:val="0"/>
            <w:vAlign w:val="center"/>
          </w:tcPr>
          <w:p w14:paraId="4AC5A450">
            <w:pPr>
              <w:pStyle w:val="4"/>
              <w:adjustRightInd w:val="0"/>
              <w:snapToGrid w:val="0"/>
              <w:spacing w:line="400" w:lineRule="exact"/>
              <w:ind w:firstLine="0" w:firstLineChars="0"/>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80</w:t>
            </w:r>
            <w:r>
              <w:rPr>
                <w:rFonts w:ascii="仿宋_GB2312" w:hAnsi="仿宋_GB2312" w:eastAsia="仿宋_GB2312" w:cs="仿宋_GB2312"/>
                <w:bCs/>
                <w:sz w:val="28"/>
                <w:szCs w:val="28"/>
              </w:rPr>
              <w:t>000</w:t>
            </w:r>
          </w:p>
        </w:tc>
      </w:tr>
      <w:tr w14:paraId="57FD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noWrap w:val="0"/>
            <w:vAlign w:val="center"/>
          </w:tcPr>
          <w:p w14:paraId="79453AC0">
            <w:pPr>
              <w:pStyle w:val="4"/>
              <w:adjustRightInd w:val="0"/>
              <w:snapToGrid w:val="0"/>
              <w:spacing w:line="400" w:lineRule="exact"/>
              <w:ind w:firstLine="0" w:firstLineChars="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10</w:t>
            </w:r>
          </w:p>
        </w:tc>
        <w:tc>
          <w:tcPr>
            <w:tcW w:w="2769" w:type="dxa"/>
            <w:noWrap w:val="0"/>
            <w:vAlign w:val="center"/>
          </w:tcPr>
          <w:p w14:paraId="5DDEBA9E">
            <w:pPr>
              <w:widowControl/>
              <w:adjustRightInd w:val="0"/>
              <w:snapToGrid w:val="0"/>
              <w:spacing w:line="400" w:lineRule="exact"/>
              <w:jc w:val="left"/>
              <w:textAlignment w:val="center"/>
              <w:rPr>
                <w:rFonts w:hint="eastAsia" w:ascii="仿宋_GB2312" w:hAnsi="仿宋_GB2312" w:eastAsia="仿宋_GB2312" w:cs="仿宋_GB2312"/>
                <w:bCs/>
                <w:sz w:val="28"/>
                <w:szCs w:val="28"/>
              </w:rPr>
            </w:pPr>
            <w:r>
              <w:rPr>
                <w:rFonts w:ascii="仿宋_GB2312" w:hAnsi="仿宋_GB2312" w:eastAsia="仿宋_GB2312" w:cs="仿宋_GB2312"/>
                <w:bCs/>
                <w:sz w:val="28"/>
                <w:szCs w:val="28"/>
              </w:rPr>
              <w:t>精品旅游</w:t>
            </w:r>
          </w:p>
        </w:tc>
        <w:tc>
          <w:tcPr>
            <w:tcW w:w="5301" w:type="dxa"/>
            <w:noWrap w:val="0"/>
            <w:vAlign w:val="center"/>
          </w:tcPr>
          <w:p w14:paraId="4215B5A2">
            <w:pPr>
              <w:pStyle w:val="4"/>
              <w:adjustRightInd w:val="0"/>
              <w:snapToGrid w:val="0"/>
              <w:spacing w:line="400" w:lineRule="exact"/>
              <w:ind w:firstLine="0" w:firstLineChars="0"/>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10</w:t>
            </w:r>
            <w:r>
              <w:rPr>
                <w:rFonts w:ascii="仿宋_GB2312" w:hAnsi="仿宋_GB2312" w:eastAsia="仿宋_GB2312" w:cs="仿宋_GB2312"/>
                <w:bCs/>
                <w:sz w:val="28"/>
                <w:szCs w:val="28"/>
              </w:rPr>
              <w:t>0000</w:t>
            </w:r>
          </w:p>
        </w:tc>
      </w:tr>
      <w:tr w14:paraId="2732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noWrap w:val="0"/>
            <w:vAlign w:val="center"/>
          </w:tcPr>
          <w:p w14:paraId="74791685">
            <w:pPr>
              <w:pStyle w:val="4"/>
              <w:adjustRightInd w:val="0"/>
              <w:snapToGrid w:val="0"/>
              <w:spacing w:line="400" w:lineRule="exact"/>
              <w:ind w:firstLine="0" w:firstLineChars="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11</w:t>
            </w:r>
          </w:p>
        </w:tc>
        <w:tc>
          <w:tcPr>
            <w:tcW w:w="2769" w:type="dxa"/>
            <w:noWrap w:val="0"/>
            <w:vAlign w:val="center"/>
          </w:tcPr>
          <w:p w14:paraId="28A92BAD">
            <w:pPr>
              <w:widowControl/>
              <w:adjustRightInd w:val="0"/>
              <w:snapToGrid w:val="0"/>
              <w:spacing w:line="400" w:lineRule="exact"/>
              <w:jc w:val="left"/>
              <w:textAlignment w:val="center"/>
              <w:rPr>
                <w:rFonts w:hint="eastAsia" w:ascii="仿宋_GB2312" w:hAnsi="仿宋_GB2312" w:eastAsia="仿宋_GB2312" w:cs="仿宋_GB2312"/>
                <w:bCs/>
                <w:sz w:val="28"/>
                <w:szCs w:val="28"/>
              </w:rPr>
            </w:pPr>
            <w:r>
              <w:rPr>
                <w:rFonts w:ascii="仿宋_GB2312" w:hAnsi="仿宋_GB2312" w:eastAsia="仿宋_GB2312" w:cs="仿宋_GB2312"/>
                <w:bCs/>
                <w:sz w:val="28"/>
                <w:szCs w:val="28"/>
              </w:rPr>
              <w:t>现代金融服务</w:t>
            </w:r>
          </w:p>
        </w:tc>
        <w:tc>
          <w:tcPr>
            <w:tcW w:w="5301" w:type="dxa"/>
            <w:noWrap w:val="0"/>
            <w:vAlign w:val="center"/>
          </w:tcPr>
          <w:p w14:paraId="01AE5392">
            <w:pPr>
              <w:pStyle w:val="4"/>
              <w:adjustRightInd w:val="0"/>
              <w:snapToGrid w:val="0"/>
              <w:spacing w:line="400" w:lineRule="exact"/>
              <w:ind w:firstLine="0" w:firstLineChars="0"/>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w:t>
            </w:r>
            <w:r>
              <w:rPr>
                <w:rFonts w:ascii="仿宋_GB2312" w:hAnsi="仿宋_GB2312" w:eastAsia="仿宋_GB2312" w:cs="仿宋_GB2312"/>
                <w:bCs/>
                <w:sz w:val="28"/>
                <w:szCs w:val="28"/>
              </w:rPr>
              <w:t>0000</w:t>
            </w:r>
          </w:p>
        </w:tc>
      </w:tr>
      <w:tr w14:paraId="052A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noWrap w:val="0"/>
            <w:vAlign w:val="center"/>
          </w:tcPr>
          <w:p w14:paraId="7CA15F07">
            <w:pPr>
              <w:pStyle w:val="4"/>
              <w:adjustRightInd w:val="0"/>
              <w:snapToGrid w:val="0"/>
              <w:spacing w:line="400" w:lineRule="exact"/>
              <w:ind w:firstLine="0" w:firstLineChars="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12</w:t>
            </w:r>
          </w:p>
        </w:tc>
        <w:tc>
          <w:tcPr>
            <w:tcW w:w="2769" w:type="dxa"/>
            <w:noWrap w:val="0"/>
            <w:vAlign w:val="center"/>
          </w:tcPr>
          <w:p w14:paraId="6C985ABE">
            <w:pPr>
              <w:widowControl/>
              <w:adjustRightInd w:val="0"/>
              <w:snapToGrid w:val="0"/>
              <w:spacing w:line="400" w:lineRule="exact"/>
              <w:jc w:val="left"/>
              <w:textAlignment w:val="center"/>
              <w:rPr>
                <w:rFonts w:hint="eastAsia" w:ascii="仿宋_GB2312" w:hAnsi="仿宋_GB2312" w:eastAsia="仿宋_GB2312" w:cs="仿宋_GB2312"/>
                <w:bCs/>
                <w:sz w:val="28"/>
                <w:szCs w:val="28"/>
              </w:rPr>
            </w:pPr>
            <w:r>
              <w:rPr>
                <w:rFonts w:ascii="仿宋_GB2312" w:hAnsi="仿宋_GB2312" w:eastAsia="仿宋_GB2312" w:cs="仿宋_GB2312"/>
                <w:bCs/>
                <w:sz w:val="28"/>
                <w:szCs w:val="28"/>
              </w:rPr>
              <w:t>现代轻工纺织</w:t>
            </w:r>
          </w:p>
        </w:tc>
        <w:tc>
          <w:tcPr>
            <w:tcW w:w="5301" w:type="dxa"/>
            <w:noWrap w:val="0"/>
            <w:vAlign w:val="center"/>
          </w:tcPr>
          <w:p w14:paraId="54C5E7A2">
            <w:pPr>
              <w:pStyle w:val="4"/>
              <w:adjustRightInd w:val="0"/>
              <w:snapToGrid w:val="0"/>
              <w:spacing w:line="400" w:lineRule="exact"/>
              <w:ind w:firstLine="0" w:firstLineChars="0"/>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50</w:t>
            </w:r>
            <w:r>
              <w:rPr>
                <w:rFonts w:ascii="仿宋_GB2312" w:hAnsi="仿宋_GB2312" w:eastAsia="仿宋_GB2312" w:cs="仿宋_GB2312"/>
                <w:bCs/>
                <w:sz w:val="28"/>
                <w:szCs w:val="28"/>
              </w:rPr>
              <w:t>000</w:t>
            </w:r>
          </w:p>
        </w:tc>
      </w:tr>
      <w:tr w14:paraId="3B2B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noWrap w:val="0"/>
            <w:vAlign w:val="center"/>
          </w:tcPr>
          <w:p w14:paraId="6CE0F9D6">
            <w:pPr>
              <w:pStyle w:val="4"/>
              <w:adjustRightInd w:val="0"/>
              <w:snapToGrid w:val="0"/>
              <w:spacing w:line="400" w:lineRule="exact"/>
              <w:ind w:firstLine="0" w:firstLineChars="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13</w:t>
            </w:r>
          </w:p>
        </w:tc>
        <w:tc>
          <w:tcPr>
            <w:tcW w:w="2769" w:type="dxa"/>
            <w:noWrap w:val="0"/>
            <w:vAlign w:val="center"/>
          </w:tcPr>
          <w:p w14:paraId="12B1DB09">
            <w:pPr>
              <w:widowControl/>
              <w:adjustRightInd w:val="0"/>
              <w:snapToGrid w:val="0"/>
              <w:spacing w:line="400" w:lineRule="exact"/>
              <w:jc w:val="left"/>
              <w:textAlignment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其他</w:t>
            </w:r>
          </w:p>
        </w:tc>
        <w:tc>
          <w:tcPr>
            <w:tcW w:w="5301" w:type="dxa"/>
            <w:noWrap w:val="0"/>
            <w:vAlign w:val="center"/>
          </w:tcPr>
          <w:p w14:paraId="7DDF718F">
            <w:pPr>
              <w:widowControl/>
              <w:adjustRightInd w:val="0"/>
              <w:snapToGrid w:val="0"/>
              <w:spacing w:line="400" w:lineRule="exact"/>
              <w:jc w:val="center"/>
              <w:textAlignment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50000</w:t>
            </w:r>
          </w:p>
        </w:tc>
      </w:tr>
    </w:tbl>
    <w:p w14:paraId="14BA8371">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bCs/>
          <w:szCs w:val="32"/>
        </w:rPr>
      </w:pPr>
      <w:r>
        <w:rPr>
          <w:rFonts w:hint="eastAsia" w:ascii="仿宋_GB2312" w:hAnsi="仿宋_GB2312" w:eastAsia="仿宋_GB2312" w:cs="仿宋_GB2312"/>
          <w:bCs/>
          <w:szCs w:val="32"/>
        </w:rPr>
        <w:t>（二）申报场景创新攻关类项目应当符合以下条件：</w:t>
      </w:r>
    </w:p>
    <w:p w14:paraId="2610ADAF">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1.申报单位上年度主营业务收入应达到5000万元以上，研发经费占主营业务收</w:t>
      </w:r>
      <w:r>
        <w:rPr>
          <w:rFonts w:hint="eastAsia" w:ascii="仿宋_GB2312" w:hAnsi="仿宋_GB2312" w:eastAsia="仿宋_GB2312" w:cs="仿宋_GB2312"/>
          <w:bCs/>
          <w:szCs w:val="32"/>
        </w:rPr>
        <w:t>入4%以上，</w:t>
      </w:r>
      <w:r>
        <w:rPr>
          <w:rFonts w:hint="eastAsia" w:ascii="仿宋_GB2312" w:hAnsi="仿宋_GB2312" w:eastAsia="仿宋_GB2312" w:cs="仿宋_GB2312"/>
          <w:szCs w:val="32"/>
        </w:rPr>
        <w:t>现代高效农业、文化创意、精品</w:t>
      </w:r>
      <w:r>
        <w:rPr>
          <w:rFonts w:hint="eastAsia" w:ascii="仿宋_GB2312" w:hAnsi="仿宋_GB2312" w:eastAsia="仿宋_GB2312" w:cs="仿宋_GB2312"/>
          <w:bCs/>
          <w:szCs w:val="32"/>
        </w:rPr>
        <w:t>旅游、现代金融服务、现代轻工纺织产业研发经费占比可适当</w:t>
      </w:r>
      <w:r>
        <w:rPr>
          <w:rFonts w:hint="eastAsia" w:ascii="仿宋_GB2312" w:hAnsi="仿宋_GB2312" w:eastAsia="仿宋_GB2312" w:cs="仿宋_GB2312"/>
          <w:szCs w:val="32"/>
        </w:rPr>
        <w:t>放宽。</w:t>
      </w:r>
    </w:p>
    <w:p w14:paraId="5D85E891">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2.申报单位应获得对其主要产品（服务）在技术上发挥核心支持作用的知识产权的所有权。</w:t>
      </w:r>
    </w:p>
    <w:p w14:paraId="7CE5AAFE">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3.申报单位从事研发和相关技术创新活动的科技人员占企业当年职工总数的比例不低于10%。</w:t>
      </w:r>
    </w:p>
    <w:p w14:paraId="4C0424C3">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bCs/>
          <w:szCs w:val="32"/>
        </w:rPr>
      </w:pPr>
      <w:r>
        <w:rPr>
          <w:rFonts w:hint="eastAsia" w:ascii="仿宋_GB2312" w:hAnsi="仿宋_GB2312" w:eastAsia="仿宋_GB2312" w:cs="仿宋_GB2312"/>
          <w:bCs/>
          <w:szCs w:val="32"/>
        </w:rPr>
        <w:t>（三）不符合申报要求的情形</w:t>
      </w:r>
    </w:p>
    <w:p w14:paraId="685CCBD8">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bCs/>
          <w:szCs w:val="32"/>
        </w:rPr>
      </w:pPr>
      <w:r>
        <w:rPr>
          <w:rFonts w:hint="eastAsia" w:ascii="仿宋_GB2312" w:hAnsi="仿宋_GB2312" w:eastAsia="仿宋_GB2312" w:cs="仿宋_GB2312"/>
          <w:bCs/>
          <w:szCs w:val="32"/>
        </w:rPr>
        <w:t>1.</w:t>
      </w:r>
      <w:r>
        <w:rPr>
          <w:rFonts w:hint="eastAsia" w:eastAsia="仿宋_GB2312"/>
          <w:szCs w:val="32"/>
        </w:rPr>
        <w:t>无重大创新技术支撑的产业化项目</w:t>
      </w:r>
      <w:r>
        <w:rPr>
          <w:rFonts w:hint="eastAsia" w:ascii="仿宋_GB2312" w:hAnsi="仿宋_GB2312" w:eastAsia="仿宋_GB2312" w:cs="仿宋_GB2312"/>
          <w:bCs/>
          <w:szCs w:val="32"/>
        </w:rPr>
        <w:t>、纯技术研发且两年内无法实现产业化落地的项目、一般量产规模扩大或一般技术改造项目等。</w:t>
      </w:r>
    </w:p>
    <w:p w14:paraId="6DC5E83A">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bCs/>
          <w:szCs w:val="32"/>
        </w:rPr>
      </w:pPr>
      <w:r>
        <w:rPr>
          <w:rFonts w:hint="eastAsia" w:ascii="仿宋_GB2312" w:hAnsi="仿宋_GB2312" w:eastAsia="仿宋_GB2312" w:cs="仿宋_GB2312"/>
          <w:bCs/>
          <w:szCs w:val="32"/>
        </w:rPr>
        <w:t>2.正在承担省新旧动能转换重大产业攻关任务尚未验收的企业，中期评估、验收成绩不合格或在各项巡视、审计、评估中存在重大问题的企业。</w:t>
      </w:r>
    </w:p>
    <w:p w14:paraId="5155E6EE">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bCs/>
          <w:szCs w:val="32"/>
        </w:rPr>
      </w:pPr>
      <w:r>
        <w:rPr>
          <w:rFonts w:hint="eastAsia" w:ascii="仿宋_GB2312" w:hAnsi="仿宋_GB2312" w:eastAsia="仿宋_GB2312" w:cs="仿宋_GB2312"/>
          <w:bCs/>
          <w:szCs w:val="32"/>
        </w:rPr>
        <w:t>3.两年内同一重大技术创新接受过省级同类财政资金支持的企业。</w:t>
      </w:r>
    </w:p>
    <w:p w14:paraId="0B5CAE6C">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bCs/>
          <w:szCs w:val="32"/>
        </w:rPr>
      </w:pPr>
      <w:r>
        <w:rPr>
          <w:rFonts w:hint="eastAsia" w:ascii="仿宋_GB2312" w:hAnsi="仿宋_GB2312" w:eastAsia="仿宋_GB2312" w:cs="仿宋_GB2312"/>
          <w:bCs/>
          <w:szCs w:val="32"/>
        </w:rPr>
        <w:t>4.申报主体单位（含联合攻关单位）存在环境、安全、知识产权、财务税务等方面的违法违规行为或重大失信行为。</w:t>
      </w:r>
    </w:p>
    <w:p w14:paraId="4C9E7920">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bCs/>
          <w:szCs w:val="32"/>
        </w:rPr>
      </w:pPr>
      <w:r>
        <w:rPr>
          <w:rFonts w:hint="eastAsia" w:ascii="仿宋_GB2312" w:hAnsi="仿宋_GB2312" w:eastAsia="仿宋_GB2312" w:cs="仿宋_GB2312"/>
          <w:bCs/>
          <w:szCs w:val="32"/>
        </w:rPr>
        <w:t>5.未及时拨付上年度攻关项目激励资金，且未按要求整改的县（市、区），不得申报本年度产业攻关项目。</w:t>
      </w:r>
    </w:p>
    <w:p w14:paraId="74F8B7E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四、申报流程</w:t>
      </w:r>
    </w:p>
    <w:p w14:paraId="6AEC5C8B">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bCs/>
          <w:szCs w:val="32"/>
        </w:rPr>
      </w:pPr>
      <w:r>
        <w:rPr>
          <w:rFonts w:hint="eastAsia" w:ascii="仿宋_GB2312" w:hAnsi="仿宋_GB2312" w:eastAsia="仿宋_GB2312" w:cs="仿宋_GB2312"/>
          <w:bCs/>
          <w:szCs w:val="32"/>
        </w:rPr>
        <w:t>（一）各市、县（区、市）发展改革部门按照属地管理原则，负责组织本区域内攻关项目申报工作。</w:t>
      </w:r>
    </w:p>
    <w:p w14:paraId="0644493D">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bCs/>
          <w:szCs w:val="32"/>
        </w:rPr>
      </w:pPr>
      <w:r>
        <w:rPr>
          <w:rFonts w:hint="eastAsia" w:eastAsia="仿宋_GB2312"/>
          <w:szCs w:val="32"/>
        </w:rPr>
        <w:t>（二）申报主体单位依据省发展改革委</w:t>
      </w:r>
      <w:r>
        <w:rPr>
          <w:rFonts w:hint="eastAsia" w:ascii="仿宋_GB2312" w:hAnsi="仿宋_GB2312" w:eastAsia="仿宋_GB2312" w:cs="仿宋_GB2312"/>
          <w:bCs/>
          <w:szCs w:val="32"/>
        </w:rPr>
        <w:t>发布的申报通知和指南要求，规范编写申报材料并提交所在地发展改革部门。</w:t>
      </w:r>
    </w:p>
    <w:p w14:paraId="4F9A2495">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bCs/>
          <w:szCs w:val="32"/>
        </w:rPr>
      </w:pPr>
      <w:r>
        <w:rPr>
          <w:rFonts w:hint="eastAsia" w:ascii="仿宋_GB2312" w:hAnsi="仿宋_GB2312" w:eastAsia="仿宋_GB2312" w:cs="仿宋_GB2312"/>
          <w:bCs/>
          <w:szCs w:val="32"/>
        </w:rPr>
        <w:t>（三）各市、县（区、市）发展改革部门对申报单位的攻关实力、申报条件符合性进行核实，将符合条件的攻关项目逐级报送省发展改革委。</w:t>
      </w:r>
    </w:p>
    <w:p w14:paraId="11219AA2">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bCs/>
          <w:szCs w:val="32"/>
        </w:rPr>
      </w:pPr>
      <w:r>
        <w:rPr>
          <w:rFonts w:hint="eastAsia" w:ascii="仿宋_GB2312" w:hAnsi="仿宋_GB2312" w:eastAsia="仿宋_GB2312" w:cs="仿宋_GB2312"/>
          <w:bCs/>
          <w:szCs w:val="32"/>
        </w:rPr>
        <w:t>（四）省发展改革委对各市推荐的备选项目进行初核，将符合条件的纳入评审范围。</w:t>
      </w:r>
    </w:p>
    <w:p w14:paraId="2C4899F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五、项目评审</w:t>
      </w:r>
    </w:p>
    <w:p w14:paraId="6789E308">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eastAsia="仿宋_GB2312"/>
          <w:szCs w:val="32"/>
        </w:rPr>
      </w:pPr>
      <w:r>
        <w:rPr>
          <w:rFonts w:hint="eastAsia" w:ascii="楷体_GB2312" w:hAnsi="楷体_GB2312" w:eastAsia="楷体_GB2312" w:cs="楷体_GB2312"/>
          <w:kern w:val="0"/>
          <w:szCs w:val="32"/>
        </w:rPr>
        <w:t>（一）分类初审。</w:t>
      </w:r>
      <w:r>
        <w:rPr>
          <w:rFonts w:hint="eastAsia" w:eastAsia="仿宋_GB2312"/>
          <w:szCs w:val="32"/>
        </w:rPr>
        <w:t>省发展改革委按“十强产业”等领域类别，将各市推荐的申报材料分送相关产业协调推进机制牵头部门，围绕产业政策、规划布局、技术含量等方面，研究制定标准和规则，对本产业备选项目进行研究论证并提出推荐意见。</w:t>
      </w:r>
    </w:p>
    <w:p w14:paraId="57D3E9B1">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eastAsia="仿宋_GB2312"/>
          <w:szCs w:val="32"/>
        </w:rPr>
      </w:pPr>
      <w:r>
        <w:rPr>
          <w:rFonts w:hint="eastAsia" w:ascii="楷体_GB2312" w:hAnsi="楷体_GB2312" w:eastAsia="楷体_GB2312" w:cs="楷体_GB2312"/>
          <w:kern w:val="0"/>
          <w:szCs w:val="32"/>
        </w:rPr>
        <w:t>（二）综合评审和尽职调查。</w:t>
      </w:r>
      <w:r>
        <w:rPr>
          <w:rFonts w:hint="eastAsia" w:eastAsia="仿宋_GB2312"/>
          <w:szCs w:val="32"/>
        </w:rPr>
        <w:t>省发展改革委围绕技术模式创新、攻关实力、建设方案、经济社会效益等方面，研究制定标准和规则，对备选项目组织开展综合评审和现场尽职调查。</w:t>
      </w:r>
    </w:p>
    <w:p w14:paraId="523D1E3A">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eastAsia="仿宋_GB2312"/>
          <w:szCs w:val="32"/>
        </w:rPr>
      </w:pPr>
      <w:r>
        <w:rPr>
          <w:rFonts w:hint="eastAsia" w:ascii="楷体_GB2312" w:hAnsi="楷体_GB2312" w:eastAsia="楷体_GB2312" w:cs="楷体_GB2312"/>
          <w:kern w:val="0"/>
          <w:szCs w:val="32"/>
        </w:rPr>
        <w:t>（三）全面考察。</w:t>
      </w:r>
      <w:r>
        <w:rPr>
          <w:rFonts w:hint="eastAsia" w:eastAsia="仿宋_GB2312"/>
          <w:szCs w:val="32"/>
        </w:rPr>
        <w:t>省发展改革委会同有关部门，围绕企业守法经营、社会信用、重复支持等方面，对入围攻关项目进行全面考察。</w:t>
      </w:r>
    </w:p>
    <w:p w14:paraId="02238EEB">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eastAsia="仿宋_GB2312"/>
          <w:szCs w:val="32"/>
        </w:rPr>
      </w:pPr>
      <w:r>
        <w:rPr>
          <w:rFonts w:hint="eastAsia" w:ascii="楷体_GB2312" w:hAnsi="楷体_GB2312" w:eastAsia="楷体_GB2312" w:cs="楷体_GB2312"/>
          <w:kern w:val="0"/>
          <w:szCs w:val="32"/>
        </w:rPr>
        <w:t>（四）项目立项。</w:t>
      </w:r>
      <w:r>
        <w:rPr>
          <w:rFonts w:hint="eastAsia" w:eastAsia="仿宋_GB2312"/>
          <w:szCs w:val="32"/>
        </w:rPr>
        <w:t>根据项目评审结果，研究提出攻关项目名单，并向社会公示。对通过公示的攻关项目，由省发展改革委确定立项，实施集中攻关，攻关期至</w:t>
      </w:r>
      <w:r>
        <w:rPr>
          <w:rFonts w:hint="eastAsia" w:ascii="仿宋_GB2312" w:hAnsi="仿宋_GB2312" w:eastAsia="仿宋_GB2312" w:cs="仿宋_GB2312"/>
          <w:szCs w:val="32"/>
        </w:rPr>
        <w:t>2027</w:t>
      </w:r>
      <w:r>
        <w:rPr>
          <w:rFonts w:hint="eastAsia" w:eastAsia="仿宋_GB2312"/>
          <w:szCs w:val="32"/>
        </w:rPr>
        <w:t>年底。</w:t>
      </w:r>
    </w:p>
    <w:p w14:paraId="30E5E118">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eastAsia="仿宋_GB2312"/>
          <w:szCs w:val="32"/>
        </w:rPr>
      </w:pPr>
      <w:r>
        <w:rPr>
          <w:rFonts w:hint="eastAsia" w:ascii="黑体" w:hAnsi="黑体" w:eastAsia="黑体" w:cs="黑体"/>
          <w:kern w:val="0"/>
          <w:szCs w:val="32"/>
        </w:rPr>
        <w:t>六、规范管理</w:t>
      </w:r>
    </w:p>
    <w:p w14:paraId="1CC7A0A4">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eastAsia="仿宋_GB2312"/>
          <w:lang w:eastAsia="zh-CN"/>
        </w:rPr>
      </w:pPr>
      <w:r>
        <w:rPr>
          <w:rFonts w:hint="eastAsia" w:ascii="仿宋_GB2312" w:hAnsi="仿宋_GB2312" w:eastAsia="仿宋_GB2312" w:cs="仿宋_GB2312"/>
          <w:szCs w:val="32"/>
        </w:rPr>
        <w:t>项目实施单位应严格按照</w:t>
      </w:r>
      <w:r>
        <w:rPr>
          <w:rFonts w:hint="eastAsia" w:eastAsia="仿宋_GB2312"/>
          <w:szCs w:val="32"/>
        </w:rPr>
        <w:t>《山东省新旧动能转换重大产业攻关项目管理实施细则》（鲁发改动能办</w:t>
      </w:r>
      <w:r>
        <w:rPr>
          <w:rFonts w:hint="eastAsia" w:ascii="仿宋_GB2312" w:hAnsi="仿宋_GB2312" w:eastAsia="仿宋_GB2312" w:cs="仿宋_GB2312"/>
          <w:szCs w:val="32"/>
        </w:rPr>
        <w:t>〔2022〕484号）有关要求，组织实施项目攻关建设。省发展改革委将攻关项目纳入省重点项目督导服务平台，实施全过程督导服务。</w:t>
      </w:r>
      <w:r>
        <w:rPr>
          <w:rFonts w:hint="eastAsia" w:ascii="仿宋_GB2312" w:hAnsi="黑体" w:eastAsia="仿宋_GB2312" w:cs="黑体"/>
          <w:bCs/>
          <w:szCs w:val="32"/>
        </w:rPr>
        <w:t>加严对攻关项目的综合管理，</w:t>
      </w:r>
      <w:r>
        <w:rPr>
          <w:rFonts w:hint="eastAsia" w:ascii="仿宋_GB2312" w:hAnsi="仿宋_GB2312" w:eastAsia="仿宋_GB2312" w:cs="仿宋_GB2312"/>
          <w:szCs w:val="32"/>
        </w:rPr>
        <w:t>对经评估验收、审计巡视、工作督导中发现的，</w:t>
      </w:r>
      <w:r>
        <w:rPr>
          <w:rFonts w:hint="eastAsia" w:ascii="仿宋_GB2312" w:hAnsi="黑体" w:eastAsia="仿宋_GB2312" w:cs="黑体"/>
          <w:bCs/>
          <w:szCs w:val="32"/>
        </w:rPr>
        <w:t>存在虚报完成投资、进度严重滞后、资金管理混乱等重大问题的项目</w:t>
      </w:r>
      <w:r>
        <w:rPr>
          <w:rFonts w:hint="eastAsia" w:ascii="仿宋_GB2312" w:hAnsi="仿宋_GB2312" w:eastAsia="仿宋_GB2312" w:cs="仿宋_GB2312"/>
          <w:szCs w:val="32"/>
        </w:rPr>
        <w:t>，严格按规定</w:t>
      </w:r>
      <w:r>
        <w:rPr>
          <w:rFonts w:hint="eastAsia" w:eastAsia="仿宋_GB2312"/>
          <w:szCs w:val="32"/>
        </w:rPr>
        <w:t>予以清退出库，并按程序收回激励补助资金</w:t>
      </w:r>
      <w:r>
        <w:rPr>
          <w:rFonts w:hint="eastAsia" w:eastAsia="仿宋_GB2312"/>
          <w:szCs w:val="32"/>
          <w:lang w:eastAsia="zh-CN"/>
        </w:rPr>
        <w:t>。</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1" w:usb1="0800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01A46">
    <w:pPr>
      <w:pStyle w:val="3"/>
      <w:rPr>
        <w:rFonts w:ascii="Times New Roman" w:hAnsi="Times New Roman" w:eastAsia="宋体" w:cs="Times New Roman"/>
        <w:szCs w:val="20"/>
      </w:rPr>
    </w:pPr>
    <w:r>
      <w:rPr>
        <w:rFonts w:ascii="Times New Roman" w:hAnsi="Times New Roman" w:eastAsia="宋体" w:cs="Times New Roman"/>
        <w:sz w:val="18"/>
        <w:szCs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54F486">
                          <w:pPr>
                            <w:pStyle w:val="3"/>
                            <w:rPr>
                              <w:rStyle w:val="7"/>
                              <w:rFonts w:hint="eastAsia" w:ascii="宋体" w:hAnsi="Times New Roman" w:eastAsia="宋体" w:cs="Times New Roman"/>
                              <w:sz w:val="28"/>
                              <w:szCs w:val="20"/>
                            </w:rPr>
                          </w:pPr>
                          <w:r>
                            <w:rPr>
                              <w:rStyle w:val="7"/>
                              <w:rFonts w:hint="eastAsia" w:ascii="宋体" w:hAnsi="Calibri" w:cs="Times New Roman"/>
                              <w:sz w:val="28"/>
                              <w:szCs w:val="20"/>
                            </w:rPr>
                            <w:fldChar w:fldCharType="begin"/>
                          </w:r>
                          <w:r>
                            <w:rPr>
                              <w:rStyle w:val="7"/>
                              <w:rFonts w:hint="eastAsia" w:ascii="宋体" w:hAnsi="Calibri" w:cs="Times New Roman"/>
                              <w:sz w:val="28"/>
                              <w:szCs w:val="20"/>
                            </w:rPr>
                            <w:instrText xml:space="preserve"> PAGE  \* MERGEFORMAT </w:instrText>
                          </w:r>
                          <w:r>
                            <w:rPr>
                              <w:rStyle w:val="7"/>
                              <w:rFonts w:hint="eastAsia" w:ascii="宋体" w:hAnsi="Calibri" w:cs="Times New Roman"/>
                              <w:sz w:val="28"/>
                              <w:szCs w:val="20"/>
                            </w:rPr>
                            <w:fldChar w:fldCharType="separate"/>
                          </w:r>
                          <w:r>
                            <w:rPr>
                              <w:rStyle w:val="7"/>
                              <w:rFonts w:hint="eastAsia" w:ascii="宋体" w:hAnsi="Calibri" w:cs="Times New Roman"/>
                              <w:sz w:val="28"/>
                              <w:szCs w:val="20"/>
                            </w:rPr>
                            <w:t>- 1 -</w:t>
                          </w:r>
                          <w:r>
                            <w:rPr>
                              <w:rStyle w:val="7"/>
                              <w:rFonts w:hint="eastAsia" w:ascii="宋体" w:hAnsi="Calibri" w:cs="Times New Roman"/>
                              <w:sz w:val="28"/>
                              <w:szCs w:val="20"/>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14:paraId="4D54F486">
                    <w:pPr>
                      <w:pStyle w:val="3"/>
                      <w:rPr>
                        <w:rStyle w:val="7"/>
                        <w:rFonts w:hint="eastAsia" w:ascii="宋体" w:hAnsi="Times New Roman" w:eastAsia="宋体" w:cs="Times New Roman"/>
                        <w:sz w:val="28"/>
                        <w:szCs w:val="20"/>
                      </w:rPr>
                    </w:pPr>
                    <w:r>
                      <w:rPr>
                        <w:rStyle w:val="7"/>
                        <w:rFonts w:hint="eastAsia" w:ascii="宋体" w:hAnsi="Calibri" w:cs="Times New Roman"/>
                        <w:sz w:val="28"/>
                        <w:szCs w:val="20"/>
                      </w:rPr>
                      <w:fldChar w:fldCharType="begin"/>
                    </w:r>
                    <w:r>
                      <w:rPr>
                        <w:rStyle w:val="7"/>
                        <w:rFonts w:hint="eastAsia" w:ascii="宋体" w:hAnsi="Calibri" w:cs="Times New Roman"/>
                        <w:sz w:val="28"/>
                        <w:szCs w:val="20"/>
                      </w:rPr>
                      <w:instrText xml:space="preserve"> PAGE  \* MERGEFORMAT </w:instrText>
                    </w:r>
                    <w:r>
                      <w:rPr>
                        <w:rStyle w:val="7"/>
                        <w:rFonts w:hint="eastAsia" w:ascii="宋体" w:hAnsi="Calibri" w:cs="Times New Roman"/>
                        <w:sz w:val="28"/>
                        <w:szCs w:val="20"/>
                      </w:rPr>
                      <w:fldChar w:fldCharType="separate"/>
                    </w:r>
                    <w:r>
                      <w:rPr>
                        <w:rStyle w:val="7"/>
                        <w:rFonts w:hint="eastAsia" w:ascii="宋体" w:hAnsi="Calibri" w:cs="Times New Roman"/>
                        <w:sz w:val="28"/>
                        <w:szCs w:val="20"/>
                      </w:rPr>
                      <w:t>- 1 -</w:t>
                    </w:r>
                    <w:r>
                      <w:rPr>
                        <w:rStyle w:val="7"/>
                        <w:rFonts w:hint="eastAsia" w:ascii="宋体" w:hAnsi="Calibri" w:cs="Times New Roman"/>
                        <w:sz w:val="28"/>
                        <w:szCs w:val="2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FFD667"/>
    <w:rsid w:val="37FDC016"/>
    <w:rsid w:val="5FE32C29"/>
    <w:rsid w:val="70E72FB3"/>
    <w:rsid w:val="7DFD8AC7"/>
    <w:rsid w:val="AF95FFB9"/>
    <w:rsid w:val="F78EDFA7"/>
    <w:rsid w:val="F7BFE84F"/>
    <w:rsid w:val="FAEFE98D"/>
    <w:rsid w:val="FDBE10B8"/>
    <w:rsid w:val="FE97C5DA"/>
    <w:rsid w:val="FF3E62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Indent"/>
    <w:qFormat/>
    <w:uiPriority w:val="0"/>
    <w:pPr>
      <w:widowControl w:val="0"/>
      <w:ind w:firstLine="420" w:firstLineChars="200"/>
      <w:jc w:val="both"/>
    </w:pPr>
    <w:rPr>
      <w:rFonts w:ascii="Times New Roman" w:hAnsi="Times New Roman" w:eastAsia="宋体" w:cs="Times New Roman"/>
      <w:kern w:val="2"/>
      <w:sz w:val="32"/>
      <w:szCs w:val="24"/>
      <w:lang w:val="en-US" w:eastAsia="zh-CN" w:bidi="ar-SA"/>
    </w:rPr>
  </w:style>
  <w:style w:type="paragraph" w:styleId="3">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bidi="ar-SA"/>
    </w:rPr>
  </w:style>
  <w:style w:type="paragraph" w:styleId="4">
    <w:name w:val="Body Text First Indent 2"/>
    <w:qFormat/>
    <w:uiPriority w:val="0"/>
    <w:pPr>
      <w:widowControl w:val="0"/>
      <w:ind w:firstLine="420" w:firstLineChars="200"/>
      <w:jc w:val="both"/>
    </w:pPr>
    <w:rPr>
      <w:rFonts w:ascii="Times New Roman" w:hAnsi="Times New Roman" w:eastAsia="宋体" w:cs="Times New Roman"/>
      <w:kern w:val="2"/>
      <w:sz w:val="32"/>
      <w:szCs w:val="24"/>
      <w:lang w:val="en-US" w:eastAsia="zh-CN" w:bidi="ar-SA"/>
    </w:rPr>
  </w:style>
  <w:style w:type="character" w:styleId="7">
    <w:name w:val="page number"/>
    <w:qFormat/>
    <w:uiPriority w:val="0"/>
  </w:style>
  <w:style w:type="paragraph" w:customStyle="1" w:styleId="8">
    <w:name w:val="Style 1"/>
    <w:qFormat/>
    <w:uiPriority w:val="0"/>
    <w:pPr>
      <w:widowControl w:val="0"/>
      <w:autoSpaceDE w:val="0"/>
      <w:autoSpaceDN w:val="0"/>
      <w:adjustRightInd w:val="0"/>
      <w:jc w:val="left"/>
    </w:pPr>
    <w:rPr>
      <w:rFonts w:ascii="Calibri" w:hAnsi="Calibri" w:eastAsia="宋体" w:cs="Times New Roman"/>
      <w:kern w:val="0"/>
      <w:sz w:val="20"/>
      <w:lang w:val="en-US" w:eastAsia="zh-CN" w:bidi="ar-SA"/>
    </w:rPr>
  </w:style>
  <w:style w:type="character" w:customStyle="1" w:styleId="9">
    <w:name w:val="Character Style 1"/>
    <w:qFormat/>
    <w:uiPriority w:val="0"/>
    <w:rPr>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3057</Words>
  <Characters>3158</Characters>
  <Lines>0</Lines>
  <Paragraphs>0</Paragraphs>
  <TotalTime>2.66666666666667</TotalTime>
  <ScaleCrop>false</ScaleCrop>
  <LinksUpToDate>false</LinksUpToDate>
  <CharactersWithSpaces>3158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2025-02-09T10:09:09Z</dcterms:created>
  <dc:creator>jnak</dc:creator>
  <cp:lastModifiedBy>administrator</cp:lastModifiedBy>
  <dcterms:modified xsi:type="dcterms:W3CDTF">2025-02-10T09:25:14Z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F71FC4EA05FE44279AD9D1AF59906D0C_13</vt:lpwstr>
  </property>
</Properties>
</file>